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8A78" w14:textId="0CBD689C" w:rsidR="00590B7E" w:rsidRDefault="00590B7E" w:rsidP="00380C81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NI-GB Exports – </w:t>
      </w:r>
      <w:r w:rsidR="001C587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Haulier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Comms v</w:t>
      </w:r>
      <w:r w:rsidR="001C587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</w:t>
      </w:r>
    </w:p>
    <w:p w14:paraId="38484825" w14:textId="77777777" w:rsidR="00380C81" w:rsidRPr="00D9280C" w:rsidRDefault="00380C81" w:rsidP="00380C81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07111525" w14:textId="2A3A2108" w:rsidR="00026101" w:rsidRPr="00D9280C" w:rsidRDefault="006C4291" w:rsidP="00380C81">
      <w:pPr>
        <w:spacing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Export Declarations</w:t>
      </w:r>
      <w:r w:rsidR="007F03C0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and</w:t>
      </w:r>
      <w:r w:rsidR="00EB019F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the</w:t>
      </w:r>
      <w:r w:rsidR="007F03C0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G</w:t>
      </w:r>
      <w:r w:rsidR="00BA48DB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oods </w:t>
      </w:r>
      <w:r w:rsidR="007F03C0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V</w:t>
      </w:r>
      <w:r w:rsidR="00BA48DB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ehicle </w:t>
      </w:r>
      <w:r w:rsidR="007F03C0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</w:t>
      </w:r>
      <w:r w:rsidR="00BA48DB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ovement </w:t>
      </w:r>
      <w:r w:rsidR="007F03C0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</w:t>
      </w:r>
      <w:r w:rsidR="00BA48DB"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ervice</w:t>
      </w:r>
    </w:p>
    <w:p w14:paraId="5D385ECC" w14:textId="3D0A1E32" w:rsidR="00971052" w:rsidRPr="00D9280C" w:rsidRDefault="00026101" w:rsidP="00380C81">
      <w:pPr>
        <w:spacing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D9280C">
        <w:rPr>
          <w:rFonts w:ascii="Arial" w:eastAsia="Times New Roman" w:hAnsi="Arial" w:cs="Arial"/>
          <w:sz w:val="24"/>
          <w:szCs w:val="24"/>
          <w:lang w:eastAsia="en-GB"/>
        </w:rPr>
        <w:t>This message is to update</w:t>
      </w:r>
      <w:r w:rsidR="00EB019F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both </w:t>
      </w:r>
      <w:r w:rsidR="003F6A0C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EB019F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auliers and </w:t>
      </w:r>
      <w:r w:rsidR="003F6A0C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EB019F" w:rsidRPr="00D9280C">
        <w:rPr>
          <w:rFonts w:ascii="Arial" w:eastAsia="Times New Roman" w:hAnsi="Arial" w:cs="Arial"/>
          <w:sz w:val="24"/>
          <w:szCs w:val="24"/>
          <w:lang w:eastAsia="en-GB"/>
        </w:rPr>
        <w:t>eclarants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on the NI-GB</w:t>
      </w:r>
      <w:r w:rsidR="005B0A5E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Export changes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from</w:t>
      </w:r>
      <w:r w:rsidR="008E2498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13FEE" w:rsidRPr="00B13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16</w:t>
      </w:r>
      <w:r w:rsidR="008E2498" w:rsidRPr="00B13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505B8" w:rsidRPr="00B13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May 2021</w:t>
      </w:r>
      <w:r w:rsidR="005D5876" w:rsidRPr="00B13F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B019F" w:rsidRPr="00D9280C">
        <w:rPr>
          <w:rFonts w:ascii="Arial" w:eastAsia="Times New Roman" w:hAnsi="Arial" w:cs="Arial"/>
          <w:sz w:val="24"/>
          <w:szCs w:val="24"/>
          <w:lang w:eastAsia="en-GB"/>
        </w:rPr>
        <w:t>and how this will affect you.</w:t>
      </w:r>
    </w:p>
    <w:p w14:paraId="19C181C8" w14:textId="4DB33DE3" w:rsidR="00026101" w:rsidRPr="00B43E49" w:rsidRDefault="00971052" w:rsidP="00380C81">
      <w:pPr>
        <w:spacing w:line="240" w:lineRule="auto"/>
        <w:outlineLvl w:val="1"/>
        <w:rPr>
          <w:rFonts w:ascii="Arial" w:eastAsia="Times New Roman" w:hAnsi="Arial" w:cs="Arial"/>
          <w:strike/>
          <w:color w:val="C45911" w:themeColor="accent2" w:themeShade="BF"/>
          <w:sz w:val="24"/>
          <w:szCs w:val="24"/>
          <w:lang w:eastAsia="en-GB"/>
        </w:rPr>
      </w:pPr>
      <w:r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026101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previous communications the government </w:t>
      </w:r>
      <w:r w:rsidR="004467A2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026101" w:rsidRPr="00734E59">
        <w:rPr>
          <w:rFonts w:ascii="Arial" w:eastAsia="Times New Roman" w:hAnsi="Arial" w:cs="Arial"/>
          <w:sz w:val="24"/>
          <w:szCs w:val="24"/>
          <w:lang w:eastAsia="en-GB"/>
        </w:rPr>
        <w:t>confirmed</w:t>
      </w:r>
      <w:r w:rsidR="004467A2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B43E49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Northern Ireland businesses will continue to have unfettered access to the whole of the UK market. There is no requirement for </w:t>
      </w:r>
      <w:r w:rsidR="00E508A9" w:rsidRPr="00734E59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B43E49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xport </w:t>
      </w:r>
      <w:r w:rsidR="00E508A9" w:rsidRPr="00734E59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B43E49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eclarations for almost all </w:t>
      </w:r>
      <w:r w:rsidR="00E508A9" w:rsidRPr="00734E59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43E49" w:rsidRPr="00734E59">
        <w:rPr>
          <w:rFonts w:ascii="Arial" w:eastAsia="Times New Roman" w:hAnsi="Arial" w:cs="Arial"/>
          <w:sz w:val="24"/>
          <w:szCs w:val="24"/>
          <w:lang w:eastAsia="en-GB"/>
        </w:rPr>
        <w:t>raders moving qualifying goods (goods that are in free circulation in Northern Ireland) directly from Northern Ireland to Great Britain.</w:t>
      </w:r>
      <w:r w:rsidR="004467A2" w:rsidRPr="00B43E49">
        <w:rPr>
          <w:rFonts w:ascii="Arial" w:eastAsia="Times New Roman" w:hAnsi="Arial" w:cs="Arial"/>
          <w:strike/>
          <w:color w:val="C45911" w:themeColor="accent2" w:themeShade="BF"/>
          <w:sz w:val="24"/>
          <w:szCs w:val="24"/>
          <w:lang w:eastAsia="en-GB"/>
        </w:rPr>
        <w:t xml:space="preserve"> </w:t>
      </w:r>
    </w:p>
    <w:p w14:paraId="3C2BBF43" w14:textId="47D73885" w:rsidR="008E2498" w:rsidRPr="00734E59" w:rsidRDefault="00E508A9" w:rsidP="00380C81">
      <w:pPr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734E59">
        <w:rPr>
          <w:rFonts w:ascii="Arial" w:hAnsi="Arial" w:cs="Arial"/>
          <w:sz w:val="24"/>
          <w:szCs w:val="24"/>
        </w:rPr>
        <w:t>There are some very limited exceptions where E</w:t>
      </w:r>
      <w:r w:rsidR="002524C5" w:rsidRPr="00734E59">
        <w:rPr>
          <w:rFonts w:ascii="Arial" w:hAnsi="Arial" w:cs="Arial"/>
          <w:sz w:val="24"/>
          <w:szCs w:val="24"/>
        </w:rPr>
        <w:t xml:space="preserve">xport </w:t>
      </w:r>
      <w:r w:rsidR="00F90AA1" w:rsidRPr="00734E59">
        <w:rPr>
          <w:rFonts w:ascii="Arial" w:hAnsi="Arial" w:cs="Arial"/>
          <w:sz w:val="24"/>
          <w:szCs w:val="24"/>
        </w:rPr>
        <w:t>D</w:t>
      </w:r>
      <w:r w:rsidR="002524C5" w:rsidRPr="00734E59">
        <w:rPr>
          <w:rFonts w:ascii="Arial" w:hAnsi="Arial" w:cs="Arial"/>
          <w:sz w:val="24"/>
          <w:szCs w:val="24"/>
        </w:rPr>
        <w:t>eclarations</w:t>
      </w:r>
      <w:r w:rsidR="007F03C0" w:rsidRPr="00734E59">
        <w:rPr>
          <w:rFonts w:ascii="Arial" w:hAnsi="Arial" w:cs="Arial"/>
          <w:sz w:val="24"/>
          <w:szCs w:val="24"/>
        </w:rPr>
        <w:t xml:space="preserve"> </w:t>
      </w:r>
      <w:r w:rsidR="002524C5" w:rsidRPr="00734E59">
        <w:rPr>
          <w:rFonts w:ascii="Arial" w:hAnsi="Arial" w:cs="Arial"/>
          <w:sz w:val="24"/>
          <w:szCs w:val="24"/>
        </w:rPr>
        <w:t xml:space="preserve">will be required </w:t>
      </w:r>
      <w:r w:rsidRPr="00734E59">
        <w:rPr>
          <w:rFonts w:ascii="Arial" w:hAnsi="Arial" w:cs="Arial"/>
          <w:sz w:val="24"/>
          <w:szCs w:val="24"/>
        </w:rPr>
        <w:t>for</w:t>
      </w:r>
      <w:r w:rsidR="00E50B96" w:rsidRPr="00734E59">
        <w:rPr>
          <w:rFonts w:ascii="Arial" w:hAnsi="Arial" w:cs="Arial"/>
          <w:sz w:val="24"/>
          <w:szCs w:val="24"/>
        </w:rPr>
        <w:t xml:space="preserve"> goods moving directly from Northern Ireland to Great Britain (declared into the Customs Declaration Service from 16 May 2021)</w:t>
      </w:r>
      <w:r w:rsidR="00A538AF" w:rsidRPr="00734E59">
        <w:rPr>
          <w:rFonts w:ascii="Arial" w:hAnsi="Arial" w:cs="Arial"/>
          <w:sz w:val="24"/>
          <w:szCs w:val="24"/>
        </w:rPr>
        <w:t>. These are;</w:t>
      </w:r>
      <w:r w:rsidR="00E50B96" w:rsidRPr="00734E59">
        <w:rPr>
          <w:rFonts w:ascii="Arial" w:hAnsi="Arial" w:cs="Arial"/>
          <w:sz w:val="24"/>
          <w:szCs w:val="24"/>
        </w:rPr>
        <w:t xml:space="preserve"> </w:t>
      </w:r>
      <w:r w:rsidR="00FC4BEF" w:rsidRPr="00734E59">
        <w:rPr>
          <w:rFonts w:ascii="Arial" w:hAnsi="Arial" w:cs="Arial"/>
          <w:sz w:val="24"/>
          <w:szCs w:val="24"/>
        </w:rPr>
        <w:t xml:space="preserve">if the goods are under a </w:t>
      </w:r>
      <w:r w:rsidR="002206F1" w:rsidRPr="00734E59">
        <w:rPr>
          <w:rFonts w:ascii="Arial" w:hAnsi="Arial" w:cs="Arial"/>
          <w:sz w:val="24"/>
          <w:szCs w:val="24"/>
        </w:rPr>
        <w:t>C</w:t>
      </w:r>
      <w:r w:rsidR="00FC4BEF" w:rsidRPr="00734E59">
        <w:rPr>
          <w:rFonts w:ascii="Arial" w:hAnsi="Arial" w:cs="Arial"/>
          <w:sz w:val="24"/>
          <w:szCs w:val="24"/>
        </w:rPr>
        <w:t xml:space="preserve">ustoms </w:t>
      </w:r>
      <w:r w:rsidR="002206F1" w:rsidRPr="00734E59">
        <w:rPr>
          <w:rFonts w:ascii="Arial" w:hAnsi="Arial" w:cs="Arial"/>
          <w:sz w:val="24"/>
          <w:szCs w:val="24"/>
        </w:rPr>
        <w:t>S</w:t>
      </w:r>
      <w:r w:rsidR="00FC4BEF" w:rsidRPr="00734E59">
        <w:rPr>
          <w:rFonts w:ascii="Arial" w:hAnsi="Arial" w:cs="Arial"/>
          <w:sz w:val="24"/>
          <w:szCs w:val="24"/>
        </w:rPr>
        <w:t xml:space="preserve">pecial </w:t>
      </w:r>
      <w:r w:rsidR="002206F1" w:rsidRPr="00734E59">
        <w:rPr>
          <w:rFonts w:ascii="Arial" w:hAnsi="Arial" w:cs="Arial"/>
          <w:sz w:val="24"/>
          <w:szCs w:val="24"/>
        </w:rPr>
        <w:t>P</w:t>
      </w:r>
      <w:r w:rsidR="00FC4BEF" w:rsidRPr="00734E59">
        <w:rPr>
          <w:rFonts w:ascii="Arial" w:hAnsi="Arial" w:cs="Arial"/>
          <w:sz w:val="24"/>
          <w:szCs w:val="24"/>
        </w:rPr>
        <w:t>rocedure in Northern Ireland, in an authorised temporary storage facility, or on a list of goods for which specific processes apply based on specific international obligations.</w:t>
      </w:r>
      <w:r w:rsidR="00E50B96" w:rsidRPr="00734E59">
        <w:rPr>
          <w:rFonts w:ascii="Arial" w:hAnsi="Arial" w:cs="Arial"/>
          <w:sz w:val="24"/>
          <w:szCs w:val="24"/>
        </w:rPr>
        <w:t xml:space="preserve"> You can find a list of these goods here:</w:t>
      </w:r>
    </w:p>
    <w:p w14:paraId="2327D65A" w14:textId="7A2967CD" w:rsidR="00E50B96" w:rsidRPr="00D9280C" w:rsidRDefault="004F03DC" w:rsidP="00CF7607">
      <w:pPr>
        <w:spacing w:line="240" w:lineRule="auto"/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en-GB"/>
        </w:rPr>
      </w:pPr>
      <w:hyperlink r:id="rId10" w:anchor="specific" w:history="1">
        <w:r w:rsidR="00E50B96" w:rsidRPr="00D9280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https://www.gov.uk/guidance/moving-qualifying-goods-from-northern-ireland-to-the-rest-of-the-uk#specific</w:t>
        </w:r>
      </w:hyperlink>
    </w:p>
    <w:p w14:paraId="2C334AAA" w14:textId="5C0CB3C0" w:rsidR="00690859" w:rsidRPr="002406C7" w:rsidRDefault="00EB019F" w:rsidP="00CF7607">
      <w:pPr>
        <w:autoSpaceDN w:val="0"/>
        <w:spacing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Both </w:t>
      </w:r>
      <w:r w:rsidR="00F5226C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eclarants and </w:t>
      </w:r>
      <w:r w:rsidR="00F5226C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H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auliers need to be aware of these changes to understand their obligations for submitting</w:t>
      </w:r>
      <w:r w:rsidR="00CA5A1E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66F4F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Export D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eclarations</w:t>
      </w:r>
      <w:r w:rsidR="00916531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,</w:t>
      </w:r>
      <w:r w:rsidR="00CA5A1E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where required</w:t>
      </w:r>
      <w:r w:rsidR="00916531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,</w:t>
      </w:r>
      <w:r w:rsidR="002454CD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as these will now need to be </w:t>
      </w:r>
      <w:r w:rsidR="00B403EC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“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pre-</w:t>
      </w:r>
      <w:r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lodg</w:t>
      </w:r>
      <w:r w:rsidR="002454CD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ed</w:t>
      </w:r>
      <w:r w:rsidR="00B403EC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”</w:t>
      </w:r>
      <w:r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911E8B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when</w:t>
      </w:r>
      <w:r w:rsidR="00B62690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goods are moved </w:t>
      </w:r>
      <w:r w:rsidR="002454CD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via </w:t>
      </w:r>
      <w:r w:rsidR="00B62690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locations using </w:t>
      </w:r>
      <w:r w:rsidR="002454CD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the </w:t>
      </w:r>
      <w:r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G</w:t>
      </w:r>
      <w:r w:rsidR="00507692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oods </w:t>
      </w:r>
      <w:r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V</w:t>
      </w:r>
      <w:r w:rsidR="00507692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ehicle </w:t>
      </w:r>
      <w:r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</w:t>
      </w:r>
      <w:r w:rsidR="00507692" w:rsidRPr="00734E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ovement</w:t>
      </w:r>
      <w:r w:rsidR="00507692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</w:t>
      </w:r>
      <w:r w:rsidR="00507692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ervice (GVMS)</w:t>
      </w: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690859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52E8F131" w14:textId="1D5290C4" w:rsidR="002E6E93" w:rsidRPr="002406C7" w:rsidRDefault="00205986" w:rsidP="00CF7607">
      <w:pPr>
        <w:autoSpaceDN w:val="0"/>
        <w:spacing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</w:t>
      </w:r>
      <w:r w:rsidR="00507692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 the Ports of Belfast, Larne and Warrenpoint have adopted GVMS</w:t>
      </w:r>
      <w:r w:rsidR="00145BA2"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, you will need to:</w:t>
      </w:r>
    </w:p>
    <w:p w14:paraId="055C7225" w14:textId="0A334C5C" w:rsidR="00754818" w:rsidRPr="002406C7" w:rsidRDefault="004F03DC" w:rsidP="00CF760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754818" w:rsidRPr="002406C7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Register for GVMS</w:t>
        </w:r>
      </w:hyperlink>
      <w:r w:rsidR="00754818" w:rsidRPr="002406C7">
        <w:rPr>
          <w:rFonts w:ascii="Arial" w:eastAsia="Times New Roman" w:hAnsi="Arial" w:cs="Arial"/>
          <w:sz w:val="24"/>
          <w:szCs w:val="24"/>
          <w:lang w:eastAsia="en-GB"/>
        </w:rPr>
        <w:t xml:space="preserve"> and create a </w:t>
      </w:r>
      <w:r w:rsidR="00475721" w:rsidRPr="002406C7">
        <w:rPr>
          <w:rFonts w:ascii="Arial" w:eastAsia="Times New Roman" w:hAnsi="Arial" w:cs="Arial"/>
          <w:sz w:val="24"/>
          <w:szCs w:val="24"/>
          <w:lang w:eastAsia="en-GB"/>
        </w:rPr>
        <w:t>Goods Movement Reference (</w:t>
      </w:r>
      <w:r w:rsidR="00754818" w:rsidRPr="002406C7">
        <w:rPr>
          <w:rFonts w:ascii="Arial" w:eastAsia="Times New Roman" w:hAnsi="Arial" w:cs="Arial"/>
          <w:sz w:val="24"/>
          <w:szCs w:val="24"/>
          <w:lang w:eastAsia="en-GB"/>
        </w:rPr>
        <w:t>GMR</w:t>
      </w:r>
      <w:r w:rsidR="00475721" w:rsidRPr="002406C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754818" w:rsidRPr="002406C7">
        <w:rPr>
          <w:rFonts w:ascii="Arial" w:eastAsia="Times New Roman" w:hAnsi="Arial" w:cs="Arial"/>
          <w:sz w:val="24"/>
          <w:szCs w:val="24"/>
          <w:lang w:eastAsia="en-GB"/>
        </w:rPr>
        <w:t xml:space="preserve"> if you are new to GVMS</w:t>
      </w:r>
    </w:p>
    <w:p w14:paraId="4693B7D4" w14:textId="77777777" w:rsidR="00754818" w:rsidRPr="002406C7" w:rsidRDefault="00754818" w:rsidP="00CF760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6C7">
        <w:rPr>
          <w:rFonts w:ascii="Arial" w:eastAsia="Times New Roman" w:hAnsi="Arial" w:cs="Arial"/>
          <w:sz w:val="24"/>
          <w:szCs w:val="24"/>
          <w:lang w:eastAsia="en-GB"/>
        </w:rPr>
        <w:t xml:space="preserve">Or – if you have already registered for GVMS, you will need to create a new </w:t>
      </w:r>
      <w:hyperlink r:id="rId12" w:history="1">
        <w:r w:rsidRPr="002406C7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GMR</w:t>
        </w:r>
      </w:hyperlink>
      <w:r w:rsidRPr="002406C7">
        <w:rPr>
          <w:rFonts w:ascii="Arial" w:eastAsia="Times New Roman" w:hAnsi="Arial" w:cs="Arial"/>
          <w:sz w:val="24"/>
          <w:szCs w:val="24"/>
          <w:lang w:eastAsia="en-GB"/>
        </w:rPr>
        <w:t xml:space="preserve"> for this new movement.  The GMR will need to be presented to the Carrier at check in.</w:t>
      </w:r>
    </w:p>
    <w:p w14:paraId="1FF364E3" w14:textId="2CB8AD0E" w:rsidR="00EB019F" w:rsidRPr="00D57B16" w:rsidRDefault="00754818" w:rsidP="00CF7607">
      <w:pPr>
        <w:autoSpaceDN w:val="0"/>
        <w:spacing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406C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Please refer to the action required by both parties below.</w:t>
      </w:r>
    </w:p>
    <w:p w14:paraId="43D3C15C" w14:textId="77777777" w:rsidR="004651DF" w:rsidRPr="00D9280C" w:rsidRDefault="004651DF" w:rsidP="00CF7607">
      <w:pPr>
        <w:autoSpaceDN w:val="0"/>
        <w:spacing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F7454E0" w14:textId="367D9DC7" w:rsidR="00EB019F" w:rsidRPr="00D9280C" w:rsidRDefault="00EB019F" w:rsidP="00CF7607">
      <w:pPr>
        <w:autoSpaceDN w:val="0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280C">
        <w:rPr>
          <w:rStyle w:val="Hyperlink"/>
          <w:rFonts w:ascii="Arial" w:hAnsi="Arial" w:cs="Arial"/>
          <w:b/>
          <w:color w:val="auto"/>
          <w:sz w:val="24"/>
          <w:szCs w:val="24"/>
        </w:rPr>
        <w:t>Action for Declarants</w:t>
      </w:r>
    </w:p>
    <w:p w14:paraId="2F1709E3" w14:textId="26A00EEC" w:rsidR="00075F1B" w:rsidRPr="00734E59" w:rsidRDefault="00EB019F" w:rsidP="00CF760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A538AF"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almost all </w:t>
      </w:r>
      <w:r w:rsidRPr="00734E59">
        <w:rPr>
          <w:rFonts w:ascii="Arial" w:eastAsia="Times New Roman" w:hAnsi="Arial" w:cs="Arial"/>
          <w:sz w:val="24"/>
          <w:szCs w:val="24"/>
          <w:lang w:eastAsia="en-GB"/>
        </w:rPr>
        <w:t xml:space="preserve">instances Export Declarations are not required when moving goods from NI to GB. </w:t>
      </w:r>
    </w:p>
    <w:p w14:paraId="5D4A63D5" w14:textId="7A7D287B" w:rsidR="00E776C4" w:rsidRPr="00D9280C" w:rsidRDefault="0056642B" w:rsidP="00CF7607">
      <w:pPr>
        <w:spacing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I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f </w:t>
      </w:r>
      <w:r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as per the link above 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you are </w:t>
      </w:r>
      <w:r w:rsidR="007A62B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e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xporting goods from NI to GB </w:t>
      </w:r>
      <w:r w:rsidR="06D69CDA" w:rsidRPr="60D5F516">
        <w:rPr>
          <w:rFonts w:ascii="Arial" w:hAnsi="Arial" w:cs="Arial"/>
          <w:sz w:val="24"/>
          <w:szCs w:val="24"/>
        </w:rPr>
        <w:t xml:space="preserve">under a </w:t>
      </w:r>
      <w:r w:rsidR="007A62B3">
        <w:rPr>
          <w:rFonts w:ascii="Arial" w:hAnsi="Arial" w:cs="Arial"/>
          <w:sz w:val="24"/>
          <w:szCs w:val="24"/>
        </w:rPr>
        <w:t>C</w:t>
      </w:r>
      <w:r w:rsidR="06D69CDA" w:rsidRPr="60D5F516">
        <w:rPr>
          <w:rFonts w:ascii="Arial" w:hAnsi="Arial" w:cs="Arial"/>
          <w:sz w:val="24"/>
          <w:szCs w:val="24"/>
        </w:rPr>
        <w:t xml:space="preserve">ustoms </w:t>
      </w:r>
      <w:r w:rsidR="007A62B3">
        <w:rPr>
          <w:rFonts w:ascii="Arial" w:hAnsi="Arial" w:cs="Arial"/>
          <w:sz w:val="24"/>
          <w:szCs w:val="24"/>
        </w:rPr>
        <w:t>S</w:t>
      </w:r>
      <w:r w:rsidR="06D69CDA" w:rsidRPr="60D5F516">
        <w:rPr>
          <w:rFonts w:ascii="Arial" w:hAnsi="Arial" w:cs="Arial"/>
          <w:sz w:val="24"/>
          <w:szCs w:val="24"/>
        </w:rPr>
        <w:t xml:space="preserve">pecial </w:t>
      </w:r>
      <w:r w:rsidR="007A62B3">
        <w:rPr>
          <w:rFonts w:ascii="Arial" w:hAnsi="Arial" w:cs="Arial"/>
          <w:sz w:val="24"/>
          <w:szCs w:val="24"/>
        </w:rPr>
        <w:t>P</w:t>
      </w:r>
      <w:r w:rsidR="06D69CDA" w:rsidRPr="60D5F516">
        <w:rPr>
          <w:rFonts w:ascii="Arial" w:hAnsi="Arial" w:cs="Arial"/>
          <w:sz w:val="24"/>
          <w:szCs w:val="24"/>
        </w:rPr>
        <w:t>rocedure in Northern Ireland, in an authorised temporary storage facility, or on a list of goods for which specific processes apply based on specific international oblig</w:t>
      </w:r>
      <w:r w:rsidR="06D69CDA" w:rsidRPr="00734E59">
        <w:rPr>
          <w:rFonts w:ascii="Arial" w:hAnsi="Arial" w:cs="Arial"/>
          <w:sz w:val="24"/>
          <w:szCs w:val="24"/>
        </w:rPr>
        <w:t>ations</w:t>
      </w:r>
      <w:r w:rsidR="00CA5A1E"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, </w:t>
      </w:r>
      <w:r w:rsidR="526FD133"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then </w:t>
      </w:r>
      <w:r w:rsidR="00CA5A1E"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y</w:t>
      </w:r>
      <w:r w:rsidR="00690859"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ou </w:t>
      </w:r>
      <w:r w:rsidR="00CA5A1E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must</w:t>
      </w:r>
      <w:r w:rsidR="00690859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</w:t>
      </w:r>
      <w:r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ensure </w:t>
      </w:r>
      <w:r w:rsidR="00A57A08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“pre-lodged” </w:t>
      </w:r>
      <w:r w:rsidR="00E044AD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E</w:t>
      </w:r>
      <w:r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xport </w:t>
      </w:r>
      <w:r w:rsidR="00E044AD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D</w:t>
      </w:r>
      <w:r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>eclarations are</w:t>
      </w:r>
      <w:r w:rsidR="00A57A08"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made in CDS</w:t>
      </w:r>
      <w:r w:rsidRPr="00734E5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</w:t>
      </w:r>
      <w:r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and</w:t>
      </w:r>
      <w:r w:rsidRPr="60D5F516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GB"/>
        </w:rPr>
        <w:t xml:space="preserve"> 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provide the </w:t>
      </w:r>
      <w:r w:rsidR="00475721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H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aulier moving the goods with the following information to enable the</w:t>
      </w:r>
      <w:r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m to </w:t>
      </w:r>
      <w:r w:rsidR="00924E46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fulfil</w:t>
      </w:r>
      <w:r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a </w:t>
      </w:r>
      <w:r w:rsidR="00690859" w:rsidRPr="60D5F51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Goods Movement </w:t>
      </w:r>
      <w:r w:rsidR="00475721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Reference (GMR)</w:t>
      </w:r>
      <w:r w:rsidR="00E044A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:</w:t>
      </w:r>
    </w:p>
    <w:p w14:paraId="2CB17F9C" w14:textId="3B2AB5DD" w:rsidR="00E776C4" w:rsidRPr="00734E59" w:rsidRDefault="00E776C4" w:rsidP="00CF760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Declaration Unique Consignment Reference (DUCR</w:t>
      </w:r>
      <w:r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)</w:t>
      </w:r>
      <w:r w:rsidR="009336A4" w:rsidRPr="00734E5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– this will be generated by CDS</w:t>
      </w:r>
    </w:p>
    <w:p w14:paraId="15DF22EF" w14:textId="11DD8663" w:rsidR="00E776C4" w:rsidRPr="00D9280C" w:rsidRDefault="00E776C4" w:rsidP="00CF7607">
      <w:pPr>
        <w:pStyle w:val="ListParagraph"/>
        <w:numPr>
          <w:ilvl w:val="0"/>
          <w:numId w:val="13"/>
        </w:numPr>
        <w:spacing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Any necessary </w:t>
      </w:r>
      <w:r w:rsidR="007C3DC5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licences/</w:t>
      </w: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permits for moving the goods</w:t>
      </w:r>
    </w:p>
    <w:p w14:paraId="1DD8C0A6" w14:textId="65719B8C" w:rsidR="00EB019F" w:rsidRPr="00D9280C" w:rsidRDefault="00690859" w:rsidP="00CF7607">
      <w:pPr>
        <w:spacing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lastRenderedPageBreak/>
        <w:t>If you are moving goods under Common Transit Convention only the T</w:t>
      </w:r>
      <w:r w:rsidR="00E776C4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ransit Accompanying Document (T</w:t>
      </w: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AD</w:t>
      </w:r>
      <w:r w:rsidR="00E776C4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)</w:t>
      </w: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and TAD MRN need</w:t>
      </w:r>
      <w:r w:rsidR="00E776C4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s</w:t>
      </w:r>
      <w:r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to be provided</w:t>
      </w:r>
      <w:r w:rsidR="00E776C4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to the </w:t>
      </w:r>
      <w:r w:rsidR="00A5018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H</w:t>
      </w:r>
      <w:r w:rsidR="00E776C4" w:rsidRPr="00D9280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auliers</w:t>
      </w:r>
      <w:r w:rsidR="00BC3EE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>.</w:t>
      </w:r>
    </w:p>
    <w:p w14:paraId="43C80C57" w14:textId="608660D8" w:rsidR="00EB019F" w:rsidRPr="00D9280C" w:rsidRDefault="00E776C4" w:rsidP="00CF7607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If you are unsure </w:t>
      </w:r>
      <w:r w:rsidR="00924E46" w:rsidRPr="00D9280C">
        <w:rPr>
          <w:rFonts w:ascii="Arial" w:eastAsia="Times New Roman" w:hAnsi="Arial" w:cs="Arial"/>
          <w:sz w:val="24"/>
          <w:szCs w:val="24"/>
          <w:lang w:eastAsia="en-GB"/>
        </w:rPr>
        <w:t>whether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you need to submit </w:t>
      </w:r>
      <w:r w:rsidR="00BC3EED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8D362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ustoms </w:t>
      </w:r>
      <w:r w:rsidR="008D3620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>eclaration</w:t>
      </w:r>
      <w:r w:rsidR="00CA5A1E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8D3620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CA5A1E" w:rsidRPr="00D9280C">
        <w:rPr>
          <w:rFonts w:ascii="Arial" w:eastAsia="Times New Roman" w:hAnsi="Arial" w:cs="Arial"/>
          <w:sz w:val="24"/>
          <w:szCs w:val="24"/>
          <w:lang w:eastAsia="en-GB"/>
        </w:rPr>
        <w:t>xports</w:t>
      </w: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– please refer to the link below</w:t>
      </w:r>
      <w:r w:rsidR="00BC3EE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0E8BAD8D" w14:textId="50F28113" w:rsidR="00E776C4" w:rsidRPr="00CF7607" w:rsidRDefault="004F03DC" w:rsidP="00CF7607">
      <w:pPr>
        <w:spacing w:line="240" w:lineRule="auto"/>
        <w:rPr>
          <w:rStyle w:val="Hyperlink"/>
          <w:rFonts w:ascii="Arial" w:eastAsia="Times New Roman" w:hAnsi="Arial" w:cs="Arial"/>
          <w:bCs/>
          <w:sz w:val="24"/>
          <w:szCs w:val="24"/>
          <w:lang w:eastAsia="en-GB"/>
        </w:rPr>
      </w:pPr>
      <w:hyperlink r:id="rId13" w:anchor="NI">
        <w:r w:rsidR="00E776C4" w:rsidRPr="00CF760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https://www.gov.uk/check-customs-declaration#NI</w:t>
        </w:r>
      </w:hyperlink>
    </w:p>
    <w:p w14:paraId="024E8987" w14:textId="77777777" w:rsidR="00E776C4" w:rsidRPr="00D9280C" w:rsidRDefault="00E776C4" w:rsidP="00CF7607">
      <w:pPr>
        <w:spacing w:line="240" w:lineRule="auto"/>
        <w:rPr>
          <w:rFonts w:ascii="Arial" w:eastAsia="Times New Roman" w:hAnsi="Arial" w:cs="Arial"/>
          <w:b/>
          <w:bCs/>
          <w:color w:val="0563C1" w:themeColor="hyperlink"/>
          <w:sz w:val="24"/>
          <w:szCs w:val="24"/>
          <w:u w:val="single"/>
          <w:lang w:eastAsia="en-GB"/>
        </w:rPr>
      </w:pPr>
    </w:p>
    <w:p w14:paraId="7EDAA5CB" w14:textId="6FE43C48" w:rsidR="00E776C4" w:rsidRPr="00D9280C" w:rsidRDefault="00E776C4" w:rsidP="00CF7607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9280C">
        <w:rPr>
          <w:rFonts w:ascii="Arial" w:hAnsi="Arial" w:cs="Arial"/>
          <w:sz w:val="24"/>
          <w:szCs w:val="24"/>
        </w:rPr>
        <w:t xml:space="preserve">Please note that to help with </w:t>
      </w:r>
      <w:r w:rsidR="0080559E">
        <w:rPr>
          <w:rFonts w:ascii="Arial" w:hAnsi="Arial" w:cs="Arial"/>
          <w:sz w:val="24"/>
          <w:szCs w:val="24"/>
        </w:rPr>
        <w:t>D</w:t>
      </w:r>
      <w:r w:rsidRPr="00D9280C">
        <w:rPr>
          <w:rFonts w:ascii="Arial" w:hAnsi="Arial" w:cs="Arial"/>
          <w:sz w:val="24"/>
          <w:szCs w:val="24"/>
        </w:rPr>
        <w:t>eclarations being made</w:t>
      </w:r>
      <w:r w:rsidR="000B428D" w:rsidRPr="00D9280C">
        <w:rPr>
          <w:rFonts w:ascii="Arial" w:hAnsi="Arial" w:cs="Arial"/>
          <w:sz w:val="24"/>
          <w:szCs w:val="24"/>
        </w:rPr>
        <w:t>, you can r</w:t>
      </w:r>
      <w:r w:rsidR="000B428D" w:rsidRPr="00D9280C">
        <w:rPr>
          <w:rFonts w:ascii="Arial" w:eastAsia="Arial" w:hAnsi="Arial" w:cs="Arial"/>
          <w:color w:val="000000" w:themeColor="text1"/>
          <w:sz w:val="24"/>
          <w:szCs w:val="24"/>
        </w:rPr>
        <w:t>egister for the Trader Support Service (TSS). The free-to-use TSS supports all businesses when moving goods between NI-GB.</w:t>
      </w:r>
      <w:r w:rsidR="00FF397F">
        <w:rPr>
          <w:rFonts w:ascii="Arial" w:eastAsia="Arial" w:hAnsi="Arial" w:cs="Arial"/>
          <w:color w:val="000000" w:themeColor="text1"/>
          <w:sz w:val="24"/>
          <w:szCs w:val="24"/>
        </w:rPr>
        <w:t xml:space="preserve"> R</w:t>
      </w:r>
      <w:r w:rsidR="000B428D" w:rsidRPr="00D9280C">
        <w:rPr>
          <w:rFonts w:ascii="Arial" w:eastAsia="Arial" w:hAnsi="Arial" w:cs="Arial"/>
          <w:color w:val="000000" w:themeColor="text1"/>
          <w:sz w:val="24"/>
          <w:szCs w:val="24"/>
        </w:rPr>
        <w:t>egister here:</w:t>
      </w:r>
    </w:p>
    <w:p w14:paraId="3CEDB2E0" w14:textId="21E982F4" w:rsidR="000B428D" w:rsidRPr="00D9280C" w:rsidRDefault="004F03DC" w:rsidP="00CF7607">
      <w:pPr>
        <w:spacing w:line="240" w:lineRule="auto"/>
        <w:rPr>
          <w:rFonts w:ascii="Arial" w:eastAsia="Arial" w:hAnsi="Arial" w:cs="Arial"/>
          <w:sz w:val="24"/>
          <w:szCs w:val="24"/>
        </w:rPr>
      </w:pPr>
      <w:hyperlink r:id="rId14">
        <w:r w:rsidR="000B428D" w:rsidRPr="00D9280C">
          <w:rPr>
            <w:rStyle w:val="Hyperlink"/>
            <w:rFonts w:ascii="Arial" w:eastAsia="Arial" w:hAnsi="Arial" w:cs="Arial"/>
            <w:sz w:val="24"/>
            <w:szCs w:val="24"/>
          </w:rPr>
          <w:t>https://www.gov.uk/guidance/trader-support-service</w:t>
        </w:r>
      </w:hyperlink>
    </w:p>
    <w:p w14:paraId="16912DD5" w14:textId="77777777" w:rsidR="005D5876" w:rsidRPr="00D9280C" w:rsidRDefault="005D5876" w:rsidP="00CF760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5F42015" w14:textId="4E67B3E5" w:rsidR="000B428D" w:rsidRPr="00D9280C" w:rsidRDefault="000B428D" w:rsidP="00CF760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D9280C">
        <w:rPr>
          <w:rFonts w:ascii="Arial" w:eastAsia="Arial" w:hAnsi="Arial" w:cs="Arial"/>
          <w:sz w:val="24"/>
          <w:szCs w:val="24"/>
        </w:rPr>
        <w:t xml:space="preserve">The TSS can complete </w:t>
      </w:r>
      <w:r w:rsidR="00952615">
        <w:rPr>
          <w:rFonts w:ascii="Arial" w:eastAsia="Arial" w:hAnsi="Arial" w:cs="Arial"/>
          <w:sz w:val="24"/>
          <w:szCs w:val="24"/>
        </w:rPr>
        <w:t>E</w:t>
      </w:r>
      <w:r w:rsidRPr="00D9280C">
        <w:rPr>
          <w:rFonts w:ascii="Arial" w:eastAsia="Arial" w:hAnsi="Arial" w:cs="Arial"/>
          <w:sz w:val="24"/>
          <w:szCs w:val="24"/>
        </w:rPr>
        <w:t xml:space="preserve">xport </w:t>
      </w:r>
      <w:r w:rsidR="00952615">
        <w:rPr>
          <w:rFonts w:ascii="Arial" w:eastAsia="Arial" w:hAnsi="Arial" w:cs="Arial"/>
          <w:sz w:val="24"/>
          <w:szCs w:val="24"/>
        </w:rPr>
        <w:t>D</w:t>
      </w:r>
      <w:r w:rsidRPr="00D9280C">
        <w:rPr>
          <w:rFonts w:ascii="Arial" w:eastAsia="Arial" w:hAnsi="Arial" w:cs="Arial"/>
          <w:sz w:val="24"/>
          <w:szCs w:val="24"/>
        </w:rPr>
        <w:t xml:space="preserve">eclarations on your behalf provided it is given the necessary information and your customers have also registered with TSS. You can access training courses and how-to guides through the TSS education portal and access </w:t>
      </w:r>
      <w:r w:rsidR="006670D4">
        <w:rPr>
          <w:rFonts w:ascii="Arial" w:eastAsia="Arial" w:hAnsi="Arial" w:cs="Arial"/>
          <w:sz w:val="24"/>
          <w:szCs w:val="24"/>
        </w:rPr>
        <w:t>the</w:t>
      </w:r>
      <w:r w:rsidRPr="00D9280C">
        <w:rPr>
          <w:rFonts w:ascii="Arial" w:eastAsia="Arial" w:hAnsi="Arial" w:cs="Arial"/>
          <w:sz w:val="24"/>
          <w:szCs w:val="24"/>
        </w:rPr>
        <w:t xml:space="preserve"> dedicated contact centre for additional support.</w:t>
      </w:r>
    </w:p>
    <w:p w14:paraId="130DCA35" w14:textId="77777777" w:rsidR="000B428D" w:rsidRPr="00D9280C" w:rsidRDefault="000B428D" w:rsidP="00CF760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5CCA958" w14:textId="2A68C859" w:rsidR="00E776C4" w:rsidRPr="00F64651" w:rsidRDefault="00075F1B" w:rsidP="00CF7607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9280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Actions for Hauliers</w:t>
      </w:r>
    </w:p>
    <w:p w14:paraId="6E76324D" w14:textId="5B48A5DB" w:rsidR="00CA5A1E" w:rsidRPr="00D9280C" w:rsidRDefault="3B43DBA4" w:rsidP="00CF7607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If </w:t>
      </w:r>
      <w:r w:rsidR="00E776C4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C66244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="00E776C4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eclarant (the party responsible for completing </w:t>
      </w:r>
      <w:r w:rsidR="007C1DCC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E776C4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ustoms </w:t>
      </w:r>
      <w:r w:rsidR="007C1DCC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="00E776C4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>eclarations</w:t>
      </w:r>
      <w:r w:rsidR="00CA5A1E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– who may be your customer</w:t>
      </w:r>
      <w:r w:rsidR="00E776C4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>) requests you move go</w:t>
      </w:r>
      <w:r w:rsidR="00CA5A1E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>ods from NI to GB that</w:t>
      </w:r>
      <w:r w:rsidR="00CA5A1E" w:rsidRPr="7328665D">
        <w:rPr>
          <w:rFonts w:ascii="Arial" w:hAnsi="Arial" w:cs="Arial"/>
          <w:sz w:val="24"/>
          <w:szCs w:val="24"/>
        </w:rPr>
        <w:t xml:space="preserve"> are </w:t>
      </w:r>
      <w:r w:rsidR="2D2BE733" w:rsidRPr="7328665D">
        <w:rPr>
          <w:rFonts w:ascii="Arial" w:hAnsi="Arial" w:cs="Arial"/>
          <w:sz w:val="24"/>
          <w:szCs w:val="24"/>
        </w:rPr>
        <w:t xml:space="preserve">under a </w:t>
      </w:r>
      <w:r w:rsidR="00D87E5C">
        <w:rPr>
          <w:rFonts w:ascii="Arial" w:hAnsi="Arial" w:cs="Arial"/>
          <w:sz w:val="24"/>
          <w:szCs w:val="24"/>
        </w:rPr>
        <w:t>C</w:t>
      </w:r>
      <w:r w:rsidR="2D2BE733" w:rsidRPr="7328665D">
        <w:rPr>
          <w:rFonts w:ascii="Arial" w:hAnsi="Arial" w:cs="Arial"/>
          <w:sz w:val="24"/>
          <w:szCs w:val="24"/>
        </w:rPr>
        <w:t xml:space="preserve">ustoms </w:t>
      </w:r>
      <w:r w:rsidR="00D87E5C">
        <w:rPr>
          <w:rFonts w:ascii="Arial" w:hAnsi="Arial" w:cs="Arial"/>
          <w:sz w:val="24"/>
          <w:szCs w:val="24"/>
        </w:rPr>
        <w:t>S</w:t>
      </w:r>
      <w:r w:rsidR="2D2BE733" w:rsidRPr="7328665D">
        <w:rPr>
          <w:rFonts w:ascii="Arial" w:hAnsi="Arial" w:cs="Arial"/>
          <w:sz w:val="24"/>
          <w:szCs w:val="24"/>
        </w:rPr>
        <w:t xml:space="preserve">pecial </w:t>
      </w:r>
      <w:r w:rsidR="00D87E5C">
        <w:rPr>
          <w:rFonts w:ascii="Arial" w:hAnsi="Arial" w:cs="Arial"/>
          <w:sz w:val="24"/>
          <w:szCs w:val="24"/>
        </w:rPr>
        <w:t>P</w:t>
      </w:r>
      <w:r w:rsidR="2D2BE733" w:rsidRPr="7328665D">
        <w:rPr>
          <w:rFonts w:ascii="Arial" w:hAnsi="Arial" w:cs="Arial"/>
          <w:sz w:val="24"/>
          <w:szCs w:val="24"/>
        </w:rPr>
        <w:t>rocedure in Northern Ireland, in an authorised temporary storage facility, or on a list of goods for which specific processes apply based on specific</w:t>
      </w:r>
      <w:r w:rsidR="00CA5A1E" w:rsidRPr="7328665D">
        <w:rPr>
          <w:rFonts w:ascii="Arial" w:hAnsi="Arial" w:cs="Arial"/>
          <w:sz w:val="24"/>
          <w:szCs w:val="24"/>
        </w:rPr>
        <w:t xml:space="preserve"> international obligations</w:t>
      </w:r>
      <w:r w:rsidR="00CA5A1E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E8507A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CA5A1E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hey must provide you with </w:t>
      </w:r>
      <w:r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CA5A1E"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valid</w:t>
      </w:r>
      <w:r w:rsidRPr="00D9280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CA5A1E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Declaration Unique Consignment Reference </w:t>
      </w:r>
      <w:r w:rsidR="000D509B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="00CA5A1E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DUCR) and any necessary licences/permits</w:t>
      </w:r>
      <w:r w:rsidR="4BBF7695" w:rsidRPr="00D57B16">
        <w:rPr>
          <w:rFonts w:ascii="Arial" w:eastAsia="Times New Roman" w:hAnsi="Arial" w:cs="Arial"/>
          <w:sz w:val="24"/>
          <w:szCs w:val="24"/>
          <w:lang w:eastAsia="en-GB"/>
        </w:rPr>
        <w:t xml:space="preserve">. If you </w:t>
      </w:r>
      <w:r w:rsidR="4BBF7695" w:rsidRPr="7328665D">
        <w:rPr>
          <w:rFonts w:ascii="Arial" w:eastAsia="Times New Roman" w:hAnsi="Arial" w:cs="Arial"/>
          <w:sz w:val="24"/>
          <w:szCs w:val="24"/>
          <w:lang w:eastAsia="en-GB"/>
        </w:rPr>
        <w:t>are unsure – check with the declarant.</w:t>
      </w:r>
    </w:p>
    <w:p w14:paraId="629B7AD1" w14:textId="472EA662" w:rsidR="00CA5A1E" w:rsidRPr="00D9280C" w:rsidRDefault="00CA5A1E" w:rsidP="00CF7607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5F7895A" w14:textId="2E86FD8E" w:rsidR="00B0413A" w:rsidRPr="00D57B16" w:rsidRDefault="00CA5A1E" w:rsidP="00CF7607">
      <w:pPr>
        <w:autoSpaceDN w:val="0"/>
        <w:spacing w:line="240" w:lineRule="auto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DUCR is </w:t>
      </w:r>
      <w:r w:rsidRPr="00734E5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required </w:t>
      </w:r>
      <w:r w:rsidR="0019446B" w:rsidRPr="00734E59">
        <w:rPr>
          <w:rFonts w:ascii="Arial" w:eastAsia="Times New Roman" w:hAnsi="Arial" w:cs="Arial"/>
          <w:bCs/>
          <w:sz w:val="24"/>
          <w:szCs w:val="24"/>
          <w:lang w:eastAsia="en-GB"/>
        </w:rPr>
        <w:t>as part of a Goods Movement Reference (GMR</w:t>
      </w:r>
      <w:r w:rsidR="00736227" w:rsidRPr="00734E59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3A5787" w:rsidRPr="00734E5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736227" w:rsidRPr="00734E59">
        <w:rPr>
          <w:rFonts w:ascii="Arial" w:eastAsia="Times New Roman" w:hAnsi="Arial" w:cs="Arial"/>
          <w:bCs/>
          <w:sz w:val="24"/>
          <w:szCs w:val="24"/>
          <w:lang w:eastAsia="en-GB"/>
        </w:rPr>
        <w:t>when</w:t>
      </w:r>
      <w:r w:rsidR="00736227" w:rsidRPr="00736227"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en-GB"/>
        </w:rPr>
        <w:t xml:space="preserve"> </w:t>
      </w:r>
      <w:r w:rsidR="005D5876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using G</w:t>
      </w:r>
      <w:r w:rsidR="00724731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oods </w:t>
      </w:r>
      <w:r w:rsidR="005D5876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V</w:t>
      </w:r>
      <w:r w:rsidR="00724731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ehicle </w:t>
      </w:r>
      <w:r w:rsidR="005D5876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M</w:t>
      </w:r>
      <w:r w:rsidR="00724731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ovement </w:t>
      </w:r>
      <w:r w:rsidR="005D5876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724731" w:rsidRPr="00D57B16">
        <w:rPr>
          <w:rFonts w:ascii="Arial" w:eastAsia="Times New Roman" w:hAnsi="Arial" w:cs="Arial"/>
          <w:bCs/>
          <w:sz w:val="24"/>
          <w:szCs w:val="24"/>
          <w:lang w:eastAsia="en-GB"/>
        </w:rPr>
        <w:t>ervice</w:t>
      </w:r>
      <w:r w:rsidR="00B0413A" w:rsidRPr="00D57B16">
        <w:rPr>
          <w:rFonts w:ascii="Arial" w:eastAsia="Times New Roman" w:hAnsi="Arial" w:cs="Arial"/>
          <w:sz w:val="24"/>
          <w:szCs w:val="24"/>
          <w:lang w:eastAsia="en-GB"/>
        </w:rPr>
        <w:t xml:space="preserve"> (GVMS).</w:t>
      </w:r>
      <w:r w:rsidR="001A4A97" w:rsidRPr="00D57B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413A" w:rsidRPr="00D57B1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As the Ports of Belfast, Larne and Warrenpoint have adopted GVMS, you will need to:</w:t>
      </w:r>
    </w:p>
    <w:p w14:paraId="460FA22F" w14:textId="1F95F3CF" w:rsidR="00BA44E9" w:rsidRPr="00D57B16" w:rsidRDefault="004F03DC" w:rsidP="00CF760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="00BA44E9" w:rsidRPr="00D9280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Register for GVMS</w:t>
        </w:r>
      </w:hyperlink>
      <w:r w:rsidR="005F12C7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BA44E9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create a </w:t>
      </w:r>
      <w:r w:rsidR="00BA44E9" w:rsidRPr="00D57B16">
        <w:rPr>
          <w:rFonts w:ascii="Arial" w:eastAsia="Times New Roman" w:hAnsi="Arial" w:cs="Arial"/>
          <w:sz w:val="24"/>
          <w:szCs w:val="24"/>
          <w:lang w:eastAsia="en-GB"/>
        </w:rPr>
        <w:t xml:space="preserve">GMR if you are new </w:t>
      </w:r>
      <w:r w:rsidR="7827F5E3" w:rsidRPr="00D57B16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BA44E9" w:rsidRPr="00D57B16">
        <w:rPr>
          <w:rFonts w:ascii="Arial" w:eastAsia="Times New Roman" w:hAnsi="Arial" w:cs="Arial"/>
          <w:sz w:val="24"/>
          <w:szCs w:val="24"/>
          <w:lang w:eastAsia="en-GB"/>
        </w:rPr>
        <w:t xml:space="preserve"> GVMS</w:t>
      </w:r>
    </w:p>
    <w:p w14:paraId="60CDB7CB" w14:textId="79700467" w:rsidR="00BA44E9" w:rsidRPr="00D9280C" w:rsidRDefault="00BA44E9" w:rsidP="00CF7607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Or – if you have already registered for GVMS, you will need to create a new </w:t>
      </w:r>
      <w:hyperlink r:id="rId16" w:history="1">
        <w:r w:rsidRPr="00D9280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GMR</w:t>
        </w:r>
      </w:hyperlink>
      <w:r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for this new movement</w:t>
      </w:r>
      <w:r w:rsidR="00D62E78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.  The GMR will need to be presented </w:t>
      </w:r>
      <w:r w:rsidR="11038934" w:rsidRPr="00D9280C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62E78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393C98CD" w:rsidRPr="00D9280C">
        <w:rPr>
          <w:rFonts w:ascii="Arial" w:eastAsia="Times New Roman" w:hAnsi="Arial" w:cs="Arial"/>
          <w:sz w:val="24"/>
          <w:szCs w:val="24"/>
          <w:lang w:eastAsia="en-GB"/>
        </w:rPr>
        <w:t xml:space="preserve">Carrier </w:t>
      </w:r>
      <w:r w:rsidR="00D62E78" w:rsidRPr="00D9280C">
        <w:rPr>
          <w:rFonts w:ascii="Arial" w:eastAsia="Times New Roman" w:hAnsi="Arial" w:cs="Arial"/>
          <w:sz w:val="24"/>
          <w:szCs w:val="24"/>
          <w:lang w:eastAsia="en-GB"/>
        </w:rPr>
        <w:t>at check in</w:t>
      </w:r>
      <w:r w:rsidR="436C6D13" w:rsidRPr="00D9280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AA12211" w14:textId="77777777" w:rsidR="005D5876" w:rsidRPr="00F115B9" w:rsidRDefault="005D5876" w:rsidP="00F115B9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C457BA" w14:textId="78D0E3A0" w:rsidR="00F115B9" w:rsidRDefault="003A5787" w:rsidP="00CF7607">
      <w:pPr>
        <w:spacing w:line="240" w:lineRule="auto"/>
        <w:rPr>
          <w:rFonts w:ascii="Arial" w:hAnsi="Arial" w:cs="Arial"/>
          <w:sz w:val="24"/>
          <w:szCs w:val="24"/>
        </w:rPr>
      </w:pPr>
      <w:r w:rsidRPr="00D9280C">
        <w:rPr>
          <w:rFonts w:ascii="Arial" w:hAnsi="Arial" w:cs="Arial"/>
          <w:sz w:val="24"/>
          <w:szCs w:val="24"/>
        </w:rPr>
        <w:t xml:space="preserve">Please note that any goods moved as described will require </w:t>
      </w:r>
      <w:r w:rsidR="00BC74E0">
        <w:rPr>
          <w:rFonts w:ascii="Arial" w:hAnsi="Arial" w:cs="Arial"/>
          <w:sz w:val="24"/>
          <w:szCs w:val="24"/>
        </w:rPr>
        <w:t>“</w:t>
      </w:r>
      <w:r w:rsidRPr="00D9280C">
        <w:rPr>
          <w:rFonts w:ascii="Arial" w:hAnsi="Arial" w:cs="Arial"/>
          <w:sz w:val="24"/>
          <w:szCs w:val="24"/>
        </w:rPr>
        <w:t>pre-lodgement</w:t>
      </w:r>
      <w:r w:rsidR="00BC74E0">
        <w:rPr>
          <w:rFonts w:ascii="Arial" w:hAnsi="Arial" w:cs="Arial"/>
          <w:sz w:val="24"/>
          <w:szCs w:val="24"/>
        </w:rPr>
        <w:t>”</w:t>
      </w:r>
      <w:r w:rsidRPr="00D9280C">
        <w:rPr>
          <w:rFonts w:ascii="Arial" w:hAnsi="Arial" w:cs="Arial"/>
          <w:sz w:val="24"/>
          <w:szCs w:val="24"/>
        </w:rPr>
        <w:t xml:space="preserve"> via </w:t>
      </w:r>
      <w:r w:rsidR="008953DD">
        <w:rPr>
          <w:rFonts w:ascii="Arial" w:hAnsi="Arial" w:cs="Arial"/>
          <w:sz w:val="24"/>
          <w:szCs w:val="24"/>
        </w:rPr>
        <w:t>CDS</w:t>
      </w:r>
      <w:r w:rsidR="00BC74E0">
        <w:rPr>
          <w:rFonts w:ascii="Arial" w:hAnsi="Arial" w:cs="Arial"/>
          <w:sz w:val="24"/>
          <w:szCs w:val="24"/>
        </w:rPr>
        <w:t xml:space="preserve"> </w:t>
      </w:r>
      <w:r w:rsidRPr="00D9280C">
        <w:rPr>
          <w:rFonts w:ascii="Arial" w:hAnsi="Arial" w:cs="Arial"/>
          <w:sz w:val="24"/>
          <w:szCs w:val="24"/>
        </w:rPr>
        <w:t xml:space="preserve">and it is the responsibility of the </w:t>
      </w:r>
      <w:r w:rsidR="00BC74E0">
        <w:rPr>
          <w:rFonts w:ascii="Arial" w:hAnsi="Arial" w:cs="Arial"/>
          <w:sz w:val="24"/>
          <w:szCs w:val="24"/>
        </w:rPr>
        <w:t>H</w:t>
      </w:r>
      <w:r w:rsidRPr="00D9280C">
        <w:rPr>
          <w:rFonts w:ascii="Arial" w:hAnsi="Arial" w:cs="Arial"/>
          <w:sz w:val="24"/>
          <w:szCs w:val="24"/>
        </w:rPr>
        <w:t>aulier to ensure</w:t>
      </w:r>
      <w:r w:rsidR="00E8507A" w:rsidRPr="00D9280C">
        <w:rPr>
          <w:rFonts w:ascii="Arial" w:hAnsi="Arial" w:cs="Arial"/>
          <w:sz w:val="24"/>
          <w:szCs w:val="24"/>
        </w:rPr>
        <w:t xml:space="preserve"> a GMR</w:t>
      </w:r>
      <w:r w:rsidRPr="00D9280C">
        <w:rPr>
          <w:rFonts w:ascii="Arial" w:hAnsi="Arial" w:cs="Arial"/>
          <w:sz w:val="24"/>
          <w:szCs w:val="24"/>
        </w:rPr>
        <w:t xml:space="preserve"> is complete</w:t>
      </w:r>
      <w:r w:rsidR="00E8507A" w:rsidRPr="00D9280C">
        <w:rPr>
          <w:rFonts w:ascii="Arial" w:hAnsi="Arial" w:cs="Arial"/>
          <w:sz w:val="24"/>
          <w:szCs w:val="24"/>
        </w:rPr>
        <w:t>d</w:t>
      </w:r>
      <w:r w:rsidR="004748D5">
        <w:rPr>
          <w:rFonts w:ascii="Arial" w:hAnsi="Arial" w:cs="Arial"/>
          <w:sz w:val="24"/>
          <w:szCs w:val="24"/>
        </w:rPr>
        <w:t xml:space="preserve"> - </w:t>
      </w:r>
      <w:r w:rsidR="00E8507A" w:rsidRPr="00D9280C">
        <w:rPr>
          <w:rFonts w:ascii="Arial" w:hAnsi="Arial" w:cs="Arial"/>
          <w:sz w:val="24"/>
          <w:szCs w:val="24"/>
        </w:rPr>
        <w:t xml:space="preserve">you </w:t>
      </w:r>
      <w:r w:rsidR="00E8507A" w:rsidRPr="004748D5">
        <w:rPr>
          <w:rFonts w:ascii="Arial" w:hAnsi="Arial" w:cs="Arial"/>
          <w:sz w:val="24"/>
          <w:szCs w:val="24"/>
          <w:u w:val="single"/>
        </w:rPr>
        <w:t>will not</w:t>
      </w:r>
      <w:r w:rsidR="00E8507A" w:rsidRPr="00D9280C">
        <w:rPr>
          <w:rFonts w:ascii="Arial" w:hAnsi="Arial" w:cs="Arial"/>
          <w:sz w:val="24"/>
          <w:szCs w:val="24"/>
        </w:rPr>
        <w:t xml:space="preserve"> be allowed to board any ferries without a valid GMR.</w:t>
      </w:r>
    </w:p>
    <w:p w14:paraId="35AFDFE9" w14:textId="77777777" w:rsidR="00F115B9" w:rsidRDefault="00F115B9" w:rsidP="00CF7607">
      <w:pPr>
        <w:spacing w:line="240" w:lineRule="auto"/>
        <w:rPr>
          <w:rFonts w:ascii="Arial" w:hAnsi="Arial" w:cs="Arial"/>
          <w:sz w:val="24"/>
          <w:szCs w:val="24"/>
        </w:rPr>
      </w:pPr>
    </w:p>
    <w:p w14:paraId="51B0551F" w14:textId="61781910" w:rsidR="00F115B9" w:rsidRPr="00734E59" w:rsidRDefault="00F115B9" w:rsidP="00CF7607">
      <w:pPr>
        <w:spacing w:line="240" w:lineRule="auto"/>
        <w:rPr>
          <w:rFonts w:ascii="Arial" w:hAnsi="Arial" w:cs="Arial"/>
          <w:sz w:val="24"/>
          <w:szCs w:val="24"/>
        </w:rPr>
      </w:pPr>
      <w:r w:rsidRPr="00734E59">
        <w:rPr>
          <w:rFonts w:ascii="Arial" w:hAnsi="Arial" w:cs="Arial"/>
          <w:sz w:val="24"/>
          <w:szCs w:val="24"/>
        </w:rPr>
        <w:t>Please note, if you are moving goods under the Common Transit Convention, and the Declarant has provided you with a Transit Accompanying Document (TAD) MRN you should continue to include this information in your GMR.</w:t>
      </w:r>
    </w:p>
    <w:p w14:paraId="477AF98B" w14:textId="7C1B6B57" w:rsidR="001B1CDE" w:rsidRDefault="001B1CDE" w:rsidP="00CF7607">
      <w:pPr>
        <w:spacing w:line="240" w:lineRule="auto"/>
        <w:rPr>
          <w:rFonts w:ascii="Arial" w:hAnsi="Arial" w:cs="Arial"/>
          <w:sz w:val="24"/>
          <w:szCs w:val="24"/>
        </w:rPr>
      </w:pPr>
    </w:p>
    <w:p w14:paraId="486A97E9" w14:textId="4352711A" w:rsidR="00FC4BEF" w:rsidRPr="00D73EFD" w:rsidRDefault="001B1CDE" w:rsidP="00CF760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C4BE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Actions for Haulier at the Exiting NI </w:t>
      </w:r>
      <w:r w:rsidR="00C054E1">
        <w:rPr>
          <w:rFonts w:ascii="Arial" w:hAnsi="Arial" w:cs="Arial"/>
          <w:b/>
          <w:sz w:val="24"/>
          <w:szCs w:val="24"/>
          <w:u w:val="single"/>
        </w:rPr>
        <w:t>Port</w:t>
      </w:r>
    </w:p>
    <w:p w14:paraId="0B85C38D" w14:textId="6481ED2C" w:rsidR="00C66244" w:rsidRPr="00D9280C" w:rsidRDefault="00C66244" w:rsidP="00CF76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action</w:t>
      </w:r>
      <w:r w:rsidR="009D4577">
        <w:rPr>
          <w:rFonts w:ascii="Arial" w:hAnsi="Arial" w:cs="Arial"/>
          <w:sz w:val="24"/>
          <w:szCs w:val="24"/>
        </w:rPr>
        <w:t xml:space="preserve"> required</w:t>
      </w:r>
      <w:r>
        <w:rPr>
          <w:rFonts w:ascii="Arial" w:hAnsi="Arial" w:cs="Arial"/>
          <w:sz w:val="24"/>
          <w:szCs w:val="24"/>
        </w:rPr>
        <w:t xml:space="preserve"> at the exiting NI </w:t>
      </w:r>
      <w:r w:rsidR="00C054E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 is dependent upon the type </w:t>
      </w:r>
      <w:r w:rsidR="0034401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goods you are moving</w:t>
      </w:r>
      <w:r w:rsidR="001B1CDE">
        <w:rPr>
          <w:rFonts w:ascii="Arial" w:hAnsi="Arial" w:cs="Arial"/>
          <w:sz w:val="24"/>
          <w:szCs w:val="24"/>
        </w:rPr>
        <w:t>:</w:t>
      </w:r>
    </w:p>
    <w:p w14:paraId="04CBE1E6" w14:textId="0235AF35" w:rsidR="007F03C0" w:rsidRPr="001B1CDE" w:rsidRDefault="00C66244" w:rsidP="00CF7607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70436785"/>
      <w:r w:rsidRPr="001B1CDE">
        <w:rPr>
          <w:rFonts w:ascii="Arial" w:hAnsi="Arial" w:cs="Arial"/>
          <w:b/>
          <w:sz w:val="24"/>
          <w:szCs w:val="24"/>
        </w:rPr>
        <w:t>If you are</w:t>
      </w:r>
      <w:r w:rsidR="00D9280C" w:rsidRPr="001B1CDE">
        <w:rPr>
          <w:rFonts w:ascii="Arial" w:hAnsi="Arial" w:cs="Arial"/>
          <w:b/>
          <w:sz w:val="24"/>
          <w:szCs w:val="24"/>
        </w:rPr>
        <w:t xml:space="preserve"> moving goods from NI to GB </w:t>
      </w:r>
      <w:r w:rsidR="001B1CDE" w:rsidRPr="001B1CDE">
        <w:rPr>
          <w:rFonts w:ascii="Arial" w:hAnsi="Arial" w:cs="Arial"/>
          <w:b/>
          <w:sz w:val="24"/>
          <w:szCs w:val="24"/>
        </w:rPr>
        <w:t xml:space="preserve">that are under a Customs Special </w:t>
      </w:r>
      <w:r w:rsidR="00C62ED8">
        <w:rPr>
          <w:rFonts w:ascii="Arial" w:hAnsi="Arial" w:cs="Arial"/>
          <w:b/>
          <w:bCs/>
          <w:sz w:val="24"/>
          <w:szCs w:val="24"/>
        </w:rPr>
        <w:t>P</w:t>
      </w:r>
      <w:r w:rsidR="001B1CDE" w:rsidRPr="7328665D">
        <w:rPr>
          <w:rFonts w:ascii="Arial" w:hAnsi="Arial" w:cs="Arial"/>
          <w:b/>
          <w:bCs/>
          <w:sz w:val="24"/>
          <w:szCs w:val="24"/>
        </w:rPr>
        <w:t xml:space="preserve">rocedure in </w:t>
      </w:r>
      <w:r w:rsidR="00E24F8F">
        <w:rPr>
          <w:rFonts w:ascii="Arial" w:hAnsi="Arial" w:cs="Arial"/>
          <w:b/>
          <w:bCs/>
          <w:sz w:val="24"/>
          <w:szCs w:val="24"/>
        </w:rPr>
        <w:t>Northern Irelan</w:t>
      </w:r>
      <w:r w:rsidR="00D57B16">
        <w:rPr>
          <w:rFonts w:ascii="Arial" w:hAnsi="Arial" w:cs="Arial"/>
          <w:b/>
          <w:bCs/>
          <w:sz w:val="24"/>
          <w:szCs w:val="24"/>
        </w:rPr>
        <w:t>d</w:t>
      </w:r>
      <w:r w:rsidR="007A05C5">
        <w:rPr>
          <w:rFonts w:ascii="Arial" w:hAnsi="Arial" w:cs="Arial"/>
          <w:b/>
          <w:bCs/>
          <w:sz w:val="24"/>
          <w:szCs w:val="24"/>
        </w:rPr>
        <w:t xml:space="preserve"> or</w:t>
      </w:r>
      <w:r w:rsidR="001B1CDE" w:rsidRPr="00E301A4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="001B1CDE" w:rsidRPr="001B1CDE">
        <w:rPr>
          <w:rFonts w:ascii="Arial" w:hAnsi="Arial" w:cs="Arial"/>
          <w:b/>
          <w:sz w:val="24"/>
          <w:szCs w:val="24"/>
        </w:rPr>
        <w:t xml:space="preserve">in an authorised temporary storage facility: </w:t>
      </w:r>
      <w:bookmarkEnd w:id="0"/>
      <w:r w:rsidR="001B1CDE" w:rsidRPr="001B1CDE">
        <w:rPr>
          <w:rFonts w:ascii="Arial" w:hAnsi="Arial" w:cs="Arial"/>
          <w:sz w:val="24"/>
          <w:szCs w:val="24"/>
        </w:rPr>
        <w:t xml:space="preserve">then </w:t>
      </w:r>
      <w:r w:rsidR="7E61375D" w:rsidRPr="7328665D">
        <w:rPr>
          <w:rFonts w:ascii="Arial" w:hAnsi="Arial" w:cs="Arial"/>
          <w:sz w:val="24"/>
          <w:szCs w:val="24"/>
        </w:rPr>
        <w:t>you</w:t>
      </w:r>
      <w:r w:rsidR="00D9280C" w:rsidRPr="001B1CDE">
        <w:rPr>
          <w:rFonts w:ascii="Arial" w:hAnsi="Arial" w:cs="Arial"/>
          <w:sz w:val="24"/>
          <w:szCs w:val="24"/>
        </w:rPr>
        <w:t xml:space="preserve"> must report straight to </w:t>
      </w:r>
      <w:r w:rsidR="001B1CDE" w:rsidRPr="001B1CDE">
        <w:rPr>
          <w:rFonts w:ascii="Arial" w:hAnsi="Arial" w:cs="Arial"/>
          <w:sz w:val="24"/>
          <w:szCs w:val="24"/>
        </w:rPr>
        <w:t xml:space="preserve">the </w:t>
      </w:r>
      <w:r w:rsidR="00C054E1">
        <w:rPr>
          <w:rFonts w:ascii="Arial" w:hAnsi="Arial" w:cs="Arial"/>
          <w:sz w:val="24"/>
          <w:szCs w:val="24"/>
        </w:rPr>
        <w:t>Carrier</w:t>
      </w:r>
      <w:r w:rsidR="00D9280C" w:rsidRPr="001B1CDE">
        <w:rPr>
          <w:rFonts w:ascii="Arial" w:hAnsi="Arial" w:cs="Arial"/>
          <w:sz w:val="24"/>
          <w:szCs w:val="24"/>
        </w:rPr>
        <w:t xml:space="preserve"> check in at the </w:t>
      </w:r>
      <w:r w:rsidR="00E0121E" w:rsidRPr="00D57B16">
        <w:rPr>
          <w:rFonts w:ascii="Arial" w:hAnsi="Arial" w:cs="Arial"/>
          <w:sz w:val="24"/>
          <w:szCs w:val="24"/>
        </w:rPr>
        <w:t>exiting</w:t>
      </w:r>
      <w:r w:rsidR="00E0121E" w:rsidRPr="00E0121E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="001B1CDE" w:rsidRPr="001B1CDE">
        <w:rPr>
          <w:rFonts w:ascii="Arial" w:hAnsi="Arial" w:cs="Arial"/>
          <w:sz w:val="24"/>
          <w:szCs w:val="24"/>
        </w:rPr>
        <w:t xml:space="preserve">NI </w:t>
      </w:r>
      <w:r w:rsidR="00C054E1">
        <w:rPr>
          <w:rFonts w:ascii="Arial" w:hAnsi="Arial" w:cs="Arial"/>
          <w:sz w:val="24"/>
          <w:szCs w:val="24"/>
        </w:rPr>
        <w:t>Port</w:t>
      </w:r>
      <w:r w:rsidR="00D9280C" w:rsidRPr="001B1CDE">
        <w:rPr>
          <w:rFonts w:ascii="Arial" w:hAnsi="Arial" w:cs="Arial"/>
          <w:sz w:val="24"/>
          <w:szCs w:val="24"/>
        </w:rPr>
        <w:t xml:space="preserve"> (Belfast/Warrenpoint/Larne)  </w:t>
      </w:r>
    </w:p>
    <w:p w14:paraId="13084C07" w14:textId="40595979" w:rsidR="005A3E3C" w:rsidRDefault="005A3E3C" w:rsidP="00CF7607">
      <w:pPr>
        <w:spacing w:line="240" w:lineRule="auto"/>
        <w:rPr>
          <w:rFonts w:ascii="Arial" w:hAnsi="Arial" w:cs="Arial"/>
          <w:sz w:val="24"/>
          <w:szCs w:val="24"/>
        </w:rPr>
      </w:pPr>
    </w:p>
    <w:p w14:paraId="6D996C82" w14:textId="74B84EBA" w:rsidR="00287394" w:rsidRPr="00287394" w:rsidRDefault="001B1CDE" w:rsidP="00CF7607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7328665D">
        <w:rPr>
          <w:rFonts w:ascii="Arial" w:hAnsi="Arial" w:cs="Arial"/>
          <w:b/>
          <w:bCs/>
          <w:sz w:val="24"/>
          <w:szCs w:val="24"/>
        </w:rPr>
        <w:t>If alternatively, you are</w:t>
      </w:r>
      <w:r w:rsidR="005A3E3C" w:rsidRPr="7328665D">
        <w:rPr>
          <w:rFonts w:ascii="Arial" w:hAnsi="Arial" w:cs="Arial"/>
          <w:b/>
          <w:bCs/>
          <w:sz w:val="24"/>
          <w:szCs w:val="24"/>
        </w:rPr>
        <w:t xml:space="preserve"> moving </w:t>
      </w:r>
      <w:r w:rsidR="000875A1">
        <w:rPr>
          <w:rFonts w:ascii="Arial" w:hAnsi="Arial" w:cs="Arial"/>
          <w:b/>
          <w:bCs/>
          <w:sz w:val="24"/>
          <w:szCs w:val="24"/>
        </w:rPr>
        <w:t xml:space="preserve">any </w:t>
      </w:r>
      <w:r w:rsidR="005A3E3C" w:rsidRPr="7328665D">
        <w:rPr>
          <w:rFonts w:ascii="Arial" w:hAnsi="Arial" w:cs="Arial"/>
          <w:b/>
          <w:bCs/>
          <w:sz w:val="24"/>
          <w:szCs w:val="24"/>
        </w:rPr>
        <w:t>goods</w:t>
      </w:r>
      <w:r w:rsidR="552F870B" w:rsidRPr="7328665D">
        <w:rPr>
          <w:rFonts w:ascii="Arial" w:hAnsi="Arial" w:cs="Arial"/>
          <w:b/>
          <w:bCs/>
          <w:sz w:val="24"/>
          <w:szCs w:val="24"/>
        </w:rPr>
        <w:t xml:space="preserve"> from NI to GB</w:t>
      </w:r>
      <w:r w:rsidRPr="7328665D">
        <w:rPr>
          <w:rFonts w:ascii="Arial" w:hAnsi="Arial" w:cs="Arial"/>
          <w:b/>
          <w:bCs/>
          <w:sz w:val="24"/>
          <w:szCs w:val="24"/>
        </w:rPr>
        <w:t xml:space="preserve"> where </w:t>
      </w:r>
      <w:hyperlink r:id="rId17" w:anchor="specific" w:history="1">
        <w:r w:rsidRPr="000875A1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specific processes apply based on specific </w:t>
        </w:r>
        <w:r w:rsidR="00BC7D26">
          <w:rPr>
            <w:rStyle w:val="Hyperlink"/>
            <w:rFonts w:ascii="Arial" w:hAnsi="Arial" w:cs="Arial"/>
            <w:b/>
            <w:bCs/>
            <w:sz w:val="24"/>
            <w:szCs w:val="24"/>
          </w:rPr>
          <w:t>i</w:t>
        </w:r>
        <w:r w:rsidRPr="000875A1">
          <w:rPr>
            <w:rStyle w:val="Hyperlink"/>
            <w:rFonts w:ascii="Arial" w:hAnsi="Arial" w:cs="Arial"/>
            <w:b/>
            <w:bCs/>
            <w:sz w:val="24"/>
            <w:szCs w:val="24"/>
          </w:rPr>
          <w:t>nternational obligatio</w:t>
        </w:r>
        <w:r w:rsidR="00FC4BEF" w:rsidRPr="000875A1">
          <w:rPr>
            <w:rStyle w:val="Hyperlink"/>
            <w:rFonts w:ascii="Arial" w:hAnsi="Arial" w:cs="Arial"/>
            <w:b/>
            <w:bCs/>
            <w:sz w:val="24"/>
            <w:szCs w:val="24"/>
          </w:rPr>
          <w:t>ns</w:t>
        </w:r>
      </w:hyperlink>
      <w:r w:rsidR="3775E130" w:rsidRPr="7328665D">
        <w:rPr>
          <w:rFonts w:ascii="Arial" w:hAnsi="Arial" w:cs="Arial"/>
          <w:b/>
          <w:bCs/>
          <w:sz w:val="24"/>
          <w:szCs w:val="24"/>
        </w:rPr>
        <w:t xml:space="preserve"> </w:t>
      </w:r>
      <w:r w:rsidR="00C539BE" w:rsidRPr="00D57B16">
        <w:rPr>
          <w:rFonts w:ascii="Arial" w:hAnsi="Arial" w:cs="Arial"/>
          <w:b/>
          <w:bCs/>
          <w:sz w:val="24"/>
          <w:szCs w:val="24"/>
        </w:rPr>
        <w:t>i.e</w:t>
      </w:r>
      <w:r w:rsidR="00287394" w:rsidRPr="00D57B16">
        <w:rPr>
          <w:rFonts w:ascii="Arial" w:hAnsi="Arial" w:cs="Arial"/>
          <w:b/>
          <w:bCs/>
          <w:sz w:val="24"/>
          <w:szCs w:val="24"/>
        </w:rPr>
        <w:t>.:</w:t>
      </w:r>
    </w:p>
    <w:p w14:paraId="57551C6E" w14:textId="74B562BA" w:rsidR="001B1CDE" w:rsidRPr="00287394" w:rsidRDefault="00287394" w:rsidP="00CF76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7394">
        <w:rPr>
          <w:rFonts w:ascii="Arial" w:hAnsi="Arial" w:cs="Arial"/>
          <w:b/>
          <w:sz w:val="24"/>
          <w:szCs w:val="24"/>
        </w:rPr>
        <w:t xml:space="preserve"> </w:t>
      </w:r>
    </w:p>
    <w:p w14:paraId="5764F698" w14:textId="1A5EDAE2" w:rsidR="001B1CDE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 xml:space="preserve">Endangered </w:t>
      </w:r>
      <w:r w:rsidR="001B1CDE" w:rsidRPr="0068632F">
        <w:rPr>
          <w:rFonts w:ascii="Arial" w:hAnsi="Arial" w:cs="Arial"/>
          <w:sz w:val="24"/>
          <w:szCs w:val="24"/>
        </w:rPr>
        <w:t>Species</w:t>
      </w:r>
    </w:p>
    <w:p w14:paraId="33692919" w14:textId="48C391F3" w:rsidR="001B1CDE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 xml:space="preserve">Fluorinated </w:t>
      </w:r>
      <w:r w:rsidR="001B1CDE" w:rsidRPr="0068632F">
        <w:rPr>
          <w:rFonts w:ascii="Arial" w:hAnsi="Arial" w:cs="Arial"/>
          <w:sz w:val="24"/>
          <w:szCs w:val="24"/>
        </w:rPr>
        <w:t>Gas</w:t>
      </w:r>
      <w:r w:rsidR="0004726E">
        <w:rPr>
          <w:rFonts w:ascii="Arial" w:hAnsi="Arial" w:cs="Arial"/>
          <w:sz w:val="24"/>
          <w:szCs w:val="24"/>
        </w:rPr>
        <w:t xml:space="preserve"> (F gas) and ozone depleting substances</w:t>
      </w:r>
      <w:bookmarkStart w:id="1" w:name="_GoBack"/>
      <w:bookmarkEnd w:id="1"/>
    </w:p>
    <w:p w14:paraId="20E0F1DA" w14:textId="1B2E49A4" w:rsidR="001B1CDE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Hazardous Chemicals</w:t>
      </w:r>
    </w:p>
    <w:p w14:paraId="22CB61CA" w14:textId="7E6C3FCE" w:rsidR="001B1CDE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Persistent Organic Pollutants</w:t>
      </w:r>
    </w:p>
    <w:p w14:paraId="4DB7E65D" w14:textId="1471AEAA" w:rsidR="001B1CDE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Drug Precursor Chemicals</w:t>
      </w:r>
    </w:p>
    <w:p w14:paraId="1FB231BD" w14:textId="52365194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Mercury and Mercury Added Products</w:t>
      </w:r>
    </w:p>
    <w:p w14:paraId="3C2257F8" w14:textId="4E67CFBB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Rough Diamonds</w:t>
      </w:r>
    </w:p>
    <w:p w14:paraId="1FDD0D33" w14:textId="67C118DF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Genetically Modified Organisms</w:t>
      </w:r>
    </w:p>
    <w:p w14:paraId="4E20B5DD" w14:textId="69CD82F9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Firearms</w:t>
      </w:r>
    </w:p>
    <w:p w14:paraId="523DA355" w14:textId="479EBF61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Atlantic Tuna</w:t>
      </w:r>
    </w:p>
    <w:p w14:paraId="02AEE6B0" w14:textId="1D50FA73" w:rsidR="00FC4BEF" w:rsidRPr="0068632F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Dissostichus Spp (Toothfish)</w:t>
      </w:r>
    </w:p>
    <w:p w14:paraId="6893E83C" w14:textId="346CF9E4" w:rsidR="00100D09" w:rsidRDefault="00BC7D26" w:rsidP="00CF7607">
      <w:pPr>
        <w:pStyle w:val="ListParagraph"/>
        <w:numPr>
          <w:ilvl w:val="2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68632F">
        <w:rPr>
          <w:rFonts w:ascii="Arial" w:hAnsi="Arial" w:cs="Arial"/>
          <w:sz w:val="24"/>
          <w:szCs w:val="24"/>
        </w:rPr>
        <w:t>Torture Goods</w:t>
      </w:r>
    </w:p>
    <w:p w14:paraId="53BB7ADD" w14:textId="77777777" w:rsidR="00287394" w:rsidRPr="0068632F" w:rsidRDefault="00287394" w:rsidP="00CF7607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14:paraId="631A6E50" w14:textId="46B87998" w:rsidR="00D9280C" w:rsidRPr="00287394" w:rsidRDefault="00FC4BEF" w:rsidP="00CF7607">
      <w:pPr>
        <w:spacing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287394">
        <w:rPr>
          <w:rFonts w:ascii="Arial" w:hAnsi="Arial" w:cs="Arial"/>
          <w:b/>
          <w:sz w:val="24"/>
          <w:szCs w:val="24"/>
        </w:rPr>
        <w:t>Then</w:t>
      </w:r>
      <w:r w:rsidR="005A3E3C" w:rsidRPr="00287394">
        <w:rPr>
          <w:rFonts w:ascii="Arial" w:hAnsi="Arial" w:cs="Arial"/>
          <w:b/>
          <w:sz w:val="24"/>
          <w:szCs w:val="24"/>
        </w:rPr>
        <w:t xml:space="preserve"> you must ensure the following action is taken </w:t>
      </w:r>
      <w:r w:rsidR="00F44334" w:rsidRPr="00287394">
        <w:rPr>
          <w:rFonts w:ascii="Arial" w:hAnsi="Arial" w:cs="Arial"/>
          <w:b/>
          <w:sz w:val="24"/>
          <w:szCs w:val="24"/>
        </w:rPr>
        <w:t>as per</w:t>
      </w:r>
      <w:r w:rsidR="005A3E3C" w:rsidRPr="00287394">
        <w:rPr>
          <w:rFonts w:ascii="Arial" w:hAnsi="Arial" w:cs="Arial"/>
          <w:b/>
          <w:sz w:val="24"/>
          <w:szCs w:val="24"/>
        </w:rPr>
        <w:t xml:space="preserve"> the table below</w:t>
      </w:r>
      <w:r w:rsidR="00620BC4" w:rsidRPr="00287394">
        <w:rPr>
          <w:rFonts w:ascii="Arial" w:hAnsi="Arial" w:cs="Arial"/>
          <w:b/>
          <w:sz w:val="24"/>
          <w:szCs w:val="24"/>
        </w:rPr>
        <w:t>,</w:t>
      </w:r>
      <w:r w:rsidRPr="00287394">
        <w:rPr>
          <w:rFonts w:ascii="Arial" w:hAnsi="Arial" w:cs="Arial"/>
          <w:b/>
          <w:sz w:val="24"/>
          <w:szCs w:val="24"/>
        </w:rPr>
        <w:t xml:space="preserve"> for the </w:t>
      </w:r>
      <w:r w:rsidR="00C054E1">
        <w:rPr>
          <w:rFonts w:ascii="Arial" w:hAnsi="Arial" w:cs="Arial"/>
          <w:b/>
          <w:sz w:val="24"/>
          <w:szCs w:val="24"/>
        </w:rPr>
        <w:t>Port</w:t>
      </w:r>
      <w:r w:rsidRPr="00287394">
        <w:rPr>
          <w:rFonts w:ascii="Arial" w:hAnsi="Arial" w:cs="Arial"/>
          <w:b/>
          <w:sz w:val="24"/>
          <w:szCs w:val="24"/>
        </w:rPr>
        <w:t xml:space="preserve"> you are exiting through</w:t>
      </w:r>
      <w:r w:rsidR="00E0669D">
        <w:rPr>
          <w:rFonts w:ascii="Arial" w:hAnsi="Arial" w:cs="Arial"/>
          <w:b/>
          <w:sz w:val="24"/>
          <w:szCs w:val="24"/>
        </w:rPr>
        <w:t>:</w:t>
      </w:r>
    </w:p>
    <w:p w14:paraId="34D5BEAD" w14:textId="77777777" w:rsidR="00D9280C" w:rsidRDefault="00D9280C" w:rsidP="00CF760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21DA5BF" w14:textId="77777777" w:rsidR="007B701A" w:rsidRPr="005A3E3C" w:rsidRDefault="007B701A" w:rsidP="00CF7607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bookmarkStart w:id="2" w:name="_Hlk70435244"/>
    </w:p>
    <w:p w14:paraId="713BF669" w14:textId="77777777" w:rsidR="00D9280C" w:rsidRDefault="00D9280C" w:rsidP="00CF7607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09B7F327" w14:textId="3FC12F2F" w:rsidR="005A3E3C" w:rsidRPr="005A3E3C" w:rsidRDefault="005A3E3C" w:rsidP="00CF7607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5A3E3C" w:rsidRPr="005A3E3C" w:rsidSect="004A3ED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284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044"/>
        <w:tblW w:w="0" w:type="auto"/>
        <w:tblLook w:val="04A0" w:firstRow="1" w:lastRow="0" w:firstColumn="1" w:lastColumn="0" w:noHBand="0" w:noVBand="1"/>
      </w:tblPr>
      <w:tblGrid>
        <w:gridCol w:w="5420"/>
        <w:gridCol w:w="5420"/>
        <w:gridCol w:w="5420"/>
      </w:tblGrid>
      <w:tr w:rsidR="00D9280C" w14:paraId="2C72F4B6" w14:textId="77777777" w:rsidTr="542CB450">
        <w:tc>
          <w:tcPr>
            <w:tcW w:w="5420" w:type="dxa"/>
          </w:tcPr>
          <w:p w14:paraId="5E154959" w14:textId="00E801B3" w:rsidR="00D9280C" w:rsidRPr="004B4C61" w:rsidRDefault="005A3E3C" w:rsidP="00CF76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61">
              <w:rPr>
                <w:rFonts w:ascii="Arial" w:hAnsi="Arial" w:cs="Arial"/>
                <w:b/>
                <w:sz w:val="24"/>
                <w:szCs w:val="24"/>
              </w:rPr>
              <w:lastRenderedPageBreak/>
              <w:t>Belfast</w:t>
            </w:r>
          </w:p>
        </w:tc>
        <w:tc>
          <w:tcPr>
            <w:tcW w:w="5420" w:type="dxa"/>
          </w:tcPr>
          <w:p w14:paraId="71ABCDBF" w14:textId="6543552A" w:rsidR="00D9280C" w:rsidRPr="004B4C61" w:rsidRDefault="00D9280C" w:rsidP="00CF76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61">
              <w:rPr>
                <w:rFonts w:ascii="Arial" w:hAnsi="Arial" w:cs="Arial"/>
                <w:b/>
                <w:sz w:val="24"/>
                <w:szCs w:val="24"/>
              </w:rPr>
              <w:t>Larne</w:t>
            </w:r>
          </w:p>
        </w:tc>
        <w:tc>
          <w:tcPr>
            <w:tcW w:w="5420" w:type="dxa"/>
          </w:tcPr>
          <w:p w14:paraId="6701003C" w14:textId="3EC807EF" w:rsidR="00D9280C" w:rsidRPr="004B4C61" w:rsidRDefault="00D9280C" w:rsidP="00CF76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61">
              <w:rPr>
                <w:rFonts w:ascii="Arial" w:hAnsi="Arial" w:cs="Arial"/>
                <w:b/>
                <w:sz w:val="24"/>
                <w:szCs w:val="24"/>
              </w:rPr>
              <w:t>Warrenpoint</w:t>
            </w:r>
          </w:p>
        </w:tc>
      </w:tr>
      <w:tr w:rsidR="00D9280C" w14:paraId="6BBB6198" w14:textId="77777777" w:rsidTr="542CB450">
        <w:tc>
          <w:tcPr>
            <w:tcW w:w="5420" w:type="dxa"/>
          </w:tcPr>
          <w:p w14:paraId="16E21037" w14:textId="45416E54" w:rsidR="00D9280C" w:rsidRPr="00741538" w:rsidRDefault="005A3E3C" w:rsidP="00CF760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406C7">
              <w:rPr>
                <w:rFonts w:ascii="Arial" w:hAnsi="Arial" w:cs="Arial"/>
                <w:sz w:val="24"/>
                <w:szCs w:val="24"/>
              </w:rPr>
              <w:t>You</w:t>
            </w:r>
            <w:r w:rsidR="00D9280C" w:rsidRPr="002406C7">
              <w:rPr>
                <w:rFonts w:ascii="Arial" w:hAnsi="Arial" w:cs="Arial"/>
                <w:sz w:val="24"/>
                <w:szCs w:val="24"/>
              </w:rPr>
              <w:t xml:space="preserve"> must report to the</w:t>
            </w:r>
            <w:r w:rsidR="00D9280C" w:rsidRPr="002406C7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</w:t>
            </w:r>
            <w:r w:rsidR="00CB354E" w:rsidRPr="00741538">
              <w:rPr>
                <w:rFonts w:ascii="Arial" w:hAnsi="Arial" w:cs="Arial"/>
                <w:sz w:val="24"/>
                <w:szCs w:val="24"/>
              </w:rPr>
              <w:t xml:space="preserve">DAERA facility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before </w:t>
            </w:r>
            <w:r w:rsidR="00D9280C" w:rsidRPr="00741538">
              <w:rPr>
                <w:rFonts w:ascii="Arial" w:hAnsi="Arial" w:cs="Arial"/>
                <w:sz w:val="24"/>
                <w:szCs w:val="24"/>
              </w:rPr>
              <w:t xml:space="preserve">you check in at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of Belfast</w:t>
            </w:r>
            <w:r w:rsidR="004367A9" w:rsidRPr="00741538">
              <w:rPr>
                <w:rFonts w:ascii="Arial" w:hAnsi="Arial" w:cs="Arial"/>
                <w:sz w:val="24"/>
                <w:szCs w:val="24"/>
              </w:rPr>
              <w:t>. This facility is located at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E0E6CC" w14:textId="77777777" w:rsidR="00BE717B" w:rsidRPr="002406C7" w:rsidRDefault="00BE717B" w:rsidP="00BE71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4BA69" w14:textId="43A4BE5A" w:rsidR="00D9280C" w:rsidRPr="002406C7" w:rsidRDefault="00D9280C" w:rsidP="00CF760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2406C7">
              <w:rPr>
                <w:rFonts w:ascii="Arial" w:hAnsi="Arial" w:cs="Arial"/>
                <w:b/>
                <w:sz w:val="24"/>
                <w:szCs w:val="24"/>
              </w:rPr>
              <w:t xml:space="preserve">8 Duncrue Street, Belfast, BT3 9BJ </w:t>
            </w:r>
          </w:p>
          <w:p w14:paraId="59C04355" w14:textId="77777777" w:rsidR="00D9280C" w:rsidRPr="002406C7" w:rsidRDefault="00D9280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F104" w14:textId="3C4BFF41" w:rsidR="00D9280C" w:rsidRPr="00741538" w:rsidRDefault="00D9280C" w:rsidP="00CF76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06C7">
              <w:rPr>
                <w:rFonts w:ascii="Arial" w:hAnsi="Arial" w:cs="Arial"/>
                <w:sz w:val="24"/>
                <w:szCs w:val="24"/>
              </w:rPr>
              <w:t>When reporting to the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54E" w:rsidRPr="00741538">
              <w:rPr>
                <w:rFonts w:ascii="Arial" w:hAnsi="Arial" w:cs="Arial"/>
                <w:sz w:val="24"/>
                <w:szCs w:val="24"/>
              </w:rPr>
              <w:t xml:space="preserve">DAERA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facility you must </w:t>
            </w:r>
            <w:r w:rsidR="00736BE1" w:rsidRPr="00741538">
              <w:rPr>
                <w:rFonts w:ascii="Arial" w:hAnsi="Arial" w:cs="Arial"/>
                <w:sz w:val="24"/>
                <w:szCs w:val="24"/>
              </w:rPr>
              <w:t>present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the Declaration Unique Consignment Reference (DUCR) provided by the declarant plus the necessary </w:t>
            </w:r>
            <w:hyperlink r:id="rId24" w:history="1">
              <w:r w:rsidRPr="007415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evidence/certificates/permits</w:t>
              </w:r>
            </w:hyperlink>
            <w:r w:rsidRPr="00741538">
              <w:rPr>
                <w:rFonts w:ascii="Arial" w:hAnsi="Arial" w:cs="Arial"/>
                <w:sz w:val="24"/>
                <w:szCs w:val="24"/>
              </w:rPr>
              <w:t xml:space="preserve"> confirming you can move the goods – these will be inspected by Border Force officials</w:t>
            </w:r>
          </w:p>
          <w:p w14:paraId="698562E4" w14:textId="77777777" w:rsidR="005A3E3C" w:rsidRPr="002406C7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09EDF" w14:textId="5D5503EB" w:rsidR="005A3E3C" w:rsidRPr="002406C7" w:rsidRDefault="00D9280C" w:rsidP="00CF76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06C7">
              <w:rPr>
                <w:rFonts w:ascii="Arial" w:hAnsi="Arial" w:cs="Arial"/>
                <w:sz w:val="24"/>
                <w:szCs w:val="24"/>
              </w:rPr>
              <w:t xml:space="preserve">After checks have been completed, Border Force officials will either provide “Permission to Progress” to the exiting </w:t>
            </w:r>
            <w:r w:rsidR="00C054E1" w:rsidRPr="002406C7">
              <w:rPr>
                <w:rFonts w:ascii="Arial" w:hAnsi="Arial" w:cs="Arial"/>
                <w:sz w:val="24"/>
                <w:szCs w:val="24"/>
              </w:rPr>
              <w:t>Port</w:t>
            </w:r>
            <w:r w:rsidRPr="002406C7">
              <w:rPr>
                <w:rFonts w:ascii="Arial" w:hAnsi="Arial" w:cs="Arial"/>
                <w:sz w:val="24"/>
                <w:szCs w:val="24"/>
              </w:rPr>
              <w:t xml:space="preserve"> or alternatively will advise on what corrective action needs to be taken</w:t>
            </w:r>
          </w:p>
          <w:p w14:paraId="6B8CE240" w14:textId="77777777" w:rsidR="005A3E3C" w:rsidRPr="002406C7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D3D88" w14:textId="5C1A29FC" w:rsidR="00D9280C" w:rsidRPr="002406C7" w:rsidRDefault="00D9280C" w:rsidP="00CF76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06C7">
              <w:rPr>
                <w:rFonts w:ascii="Arial" w:hAnsi="Arial" w:cs="Arial"/>
                <w:sz w:val="24"/>
                <w:szCs w:val="24"/>
              </w:rPr>
              <w:t>If given “Permission to Progress”</w:t>
            </w:r>
            <w:r w:rsidR="00DD713B" w:rsidRPr="002406C7">
              <w:rPr>
                <w:rFonts w:ascii="Arial" w:hAnsi="Arial" w:cs="Arial"/>
                <w:sz w:val="24"/>
                <w:szCs w:val="24"/>
              </w:rPr>
              <w:t>,</w:t>
            </w:r>
            <w:r w:rsidRPr="002406C7">
              <w:rPr>
                <w:rFonts w:ascii="Arial" w:hAnsi="Arial" w:cs="Arial"/>
                <w:sz w:val="24"/>
                <w:szCs w:val="24"/>
              </w:rPr>
              <w:t xml:space="preserve"> the goods will be sealed by Border Force </w:t>
            </w:r>
            <w:r w:rsidR="005A3E3C" w:rsidRPr="002406C7">
              <w:rPr>
                <w:rFonts w:ascii="Arial" w:hAnsi="Arial" w:cs="Arial"/>
                <w:sz w:val="24"/>
                <w:szCs w:val="24"/>
              </w:rPr>
              <w:t>who will confirm you</w:t>
            </w:r>
            <w:r w:rsidRPr="002406C7">
              <w:rPr>
                <w:rFonts w:ascii="Arial" w:hAnsi="Arial" w:cs="Arial"/>
                <w:sz w:val="24"/>
                <w:szCs w:val="24"/>
              </w:rPr>
              <w:t xml:space="preserve"> can continue to </w:t>
            </w:r>
            <w:r w:rsidR="00C054E1" w:rsidRPr="002406C7">
              <w:rPr>
                <w:rFonts w:ascii="Arial" w:hAnsi="Arial" w:cs="Arial"/>
                <w:sz w:val="24"/>
                <w:szCs w:val="24"/>
              </w:rPr>
              <w:t>Carrier</w:t>
            </w:r>
            <w:r w:rsidR="005A3E3C" w:rsidRPr="002406C7">
              <w:rPr>
                <w:rFonts w:ascii="Arial" w:hAnsi="Arial" w:cs="Arial"/>
                <w:sz w:val="24"/>
                <w:szCs w:val="24"/>
              </w:rPr>
              <w:t xml:space="preserve"> check in at the </w:t>
            </w:r>
            <w:r w:rsidR="00C054E1" w:rsidRPr="002406C7">
              <w:rPr>
                <w:rFonts w:ascii="Arial" w:hAnsi="Arial" w:cs="Arial"/>
                <w:sz w:val="24"/>
                <w:szCs w:val="24"/>
              </w:rPr>
              <w:t>Port</w:t>
            </w:r>
            <w:r w:rsidR="005A3E3C" w:rsidRPr="002406C7">
              <w:rPr>
                <w:rFonts w:ascii="Arial" w:hAnsi="Arial" w:cs="Arial"/>
                <w:sz w:val="24"/>
                <w:szCs w:val="24"/>
              </w:rPr>
              <w:t xml:space="preserve"> of Belfast</w:t>
            </w:r>
          </w:p>
          <w:p w14:paraId="31B6C326" w14:textId="77777777" w:rsidR="005A3E3C" w:rsidRPr="002406C7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36E26" w14:textId="60A9AE9D" w:rsidR="00D9280C" w:rsidRPr="002406C7" w:rsidRDefault="00D9280C" w:rsidP="00CF760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06C7">
              <w:rPr>
                <w:rFonts w:ascii="Arial" w:hAnsi="Arial" w:cs="Arial"/>
                <w:sz w:val="24"/>
                <w:szCs w:val="24"/>
              </w:rPr>
              <w:t>Upon arrival at the</w:t>
            </w:r>
            <w:r w:rsidR="0083283E" w:rsidRPr="002406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4E1" w:rsidRPr="002406C7">
              <w:rPr>
                <w:rFonts w:ascii="Arial" w:hAnsi="Arial" w:cs="Arial"/>
                <w:sz w:val="24"/>
                <w:szCs w:val="24"/>
              </w:rPr>
              <w:t>Carrier</w:t>
            </w:r>
            <w:r w:rsidR="0083283E" w:rsidRPr="002406C7">
              <w:rPr>
                <w:rFonts w:ascii="Arial" w:hAnsi="Arial" w:cs="Arial"/>
                <w:sz w:val="24"/>
                <w:szCs w:val="24"/>
              </w:rPr>
              <w:t xml:space="preserve"> check in</w:t>
            </w:r>
            <w:r w:rsidRPr="002406C7">
              <w:rPr>
                <w:rFonts w:ascii="Arial" w:hAnsi="Arial" w:cs="Arial"/>
                <w:sz w:val="24"/>
                <w:szCs w:val="24"/>
              </w:rPr>
              <w:t xml:space="preserve"> you must present your Goods Movement Reference</w:t>
            </w:r>
          </w:p>
          <w:p w14:paraId="689CA8B4" w14:textId="77777777" w:rsidR="00C403BC" w:rsidRPr="002406C7" w:rsidRDefault="00C403BC" w:rsidP="00C403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A7C6A" w14:textId="4E3F66A8" w:rsidR="00D9280C" w:rsidRPr="002406C7" w:rsidRDefault="00D9280C" w:rsidP="00CF760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406C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Important: failure to attend </w:t>
            </w:r>
            <w:r w:rsidR="00236420" w:rsidRPr="002406C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="00CA1324"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DAERA facility </w:t>
            </w: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at Belfast in advance of </w:t>
            </w:r>
            <w:r w:rsidRPr="002406C7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your journey may result in delays to travel and clearance of your goods</w:t>
            </w:r>
          </w:p>
        </w:tc>
        <w:tc>
          <w:tcPr>
            <w:tcW w:w="5420" w:type="dxa"/>
          </w:tcPr>
          <w:p w14:paraId="7F6E1904" w14:textId="67F10986" w:rsidR="0083283E" w:rsidRPr="00741538" w:rsidRDefault="406F4871" w:rsidP="00CF7607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lastRenderedPageBreak/>
              <w:t xml:space="preserve">You must check in with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Carrier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of Larne</w:t>
            </w:r>
            <w:r w:rsidR="450129D3" w:rsidRPr="0074153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3293E" w:rsidRPr="00741538">
              <w:rPr>
                <w:rFonts w:ascii="Arial" w:hAnsi="Arial" w:cs="Arial"/>
                <w:sz w:val="24"/>
                <w:szCs w:val="24"/>
              </w:rPr>
              <w:t xml:space="preserve">present your Goods Movement Reference </w:t>
            </w:r>
            <w:r w:rsidR="003F3C91" w:rsidRPr="00741538">
              <w:rPr>
                <w:rFonts w:ascii="Arial" w:hAnsi="Arial" w:cs="Arial"/>
                <w:sz w:val="24"/>
                <w:szCs w:val="24"/>
              </w:rPr>
              <w:t xml:space="preserve">– tell the </w:t>
            </w:r>
            <w:r w:rsidR="00222347" w:rsidRPr="00741538">
              <w:rPr>
                <w:rFonts w:ascii="Arial" w:hAnsi="Arial" w:cs="Arial"/>
                <w:sz w:val="24"/>
                <w:szCs w:val="24"/>
              </w:rPr>
              <w:t>C</w:t>
            </w:r>
            <w:r w:rsidR="003F3C91" w:rsidRPr="00741538">
              <w:rPr>
                <w:rFonts w:ascii="Arial" w:hAnsi="Arial" w:cs="Arial"/>
                <w:sz w:val="24"/>
                <w:szCs w:val="24"/>
              </w:rPr>
              <w:t>arrier at check</w:t>
            </w:r>
            <w:r w:rsidR="00222347" w:rsidRPr="00741538">
              <w:rPr>
                <w:rFonts w:ascii="Arial" w:hAnsi="Arial" w:cs="Arial"/>
                <w:sz w:val="24"/>
                <w:szCs w:val="24"/>
              </w:rPr>
              <w:t xml:space="preserve">-in </w:t>
            </w:r>
            <w:r w:rsidR="00D76B3B" w:rsidRPr="00741538">
              <w:rPr>
                <w:rFonts w:ascii="Arial" w:hAnsi="Arial" w:cs="Arial"/>
                <w:sz w:val="24"/>
                <w:szCs w:val="24"/>
              </w:rPr>
              <w:t>that</w:t>
            </w:r>
            <w:r w:rsidR="00222347" w:rsidRPr="00741538">
              <w:rPr>
                <w:rFonts w:ascii="Arial" w:hAnsi="Arial" w:cs="Arial"/>
                <w:sz w:val="24"/>
                <w:szCs w:val="24"/>
              </w:rPr>
              <w:t xml:space="preserve"> you are carrying</w:t>
            </w:r>
            <w:r w:rsidR="00D76B3B" w:rsidRPr="00741538">
              <w:rPr>
                <w:rFonts w:ascii="Arial" w:hAnsi="Arial" w:cs="Arial"/>
                <w:sz w:val="24"/>
                <w:szCs w:val="24"/>
              </w:rPr>
              <w:t xml:space="preserve"> goods</w:t>
            </w:r>
            <w:r w:rsidR="00222347" w:rsidRPr="00741538">
              <w:rPr>
                <w:rFonts w:ascii="Arial" w:hAnsi="Arial" w:cs="Arial"/>
                <w:sz w:val="24"/>
                <w:szCs w:val="24"/>
              </w:rPr>
              <w:t xml:space="preserve"> for which specific processes apply based on specific international obligations</w:t>
            </w:r>
            <w:r w:rsidR="0009462F" w:rsidRPr="0074153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31B89" w:rsidRPr="00741538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BC1131" w:rsidRPr="00741538">
              <w:rPr>
                <w:rFonts w:ascii="Arial" w:hAnsi="Arial" w:cs="Arial"/>
                <w:sz w:val="24"/>
                <w:szCs w:val="24"/>
              </w:rPr>
              <w:t>point 2 above)</w:t>
            </w:r>
          </w:p>
          <w:p w14:paraId="7D8B1BE4" w14:textId="77777777" w:rsidR="004B4C61" w:rsidRPr="00741538" w:rsidRDefault="004B4C61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E2702" w14:textId="0ECDF189" w:rsidR="00D9280C" w:rsidRPr="00741538" w:rsidRDefault="0083283E" w:rsidP="00CF76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Carrier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4748D5" w:rsidRPr="00741538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 w:rsidRPr="00741538">
              <w:rPr>
                <w:rFonts w:ascii="Arial" w:hAnsi="Arial" w:cs="Arial"/>
                <w:sz w:val="24"/>
                <w:szCs w:val="24"/>
              </w:rPr>
              <w:t>confirm whether you can proceed and board the vessel or alternatively if a check is required</w:t>
            </w:r>
          </w:p>
          <w:p w14:paraId="6607733C" w14:textId="76D3442D" w:rsidR="004B4C61" w:rsidRPr="00741538" w:rsidRDefault="004B4C61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5D154" w14:textId="7500204B" w:rsidR="0083283E" w:rsidRPr="00741538" w:rsidRDefault="406F4871" w:rsidP="00CF7607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 xml:space="preserve">If a check is </w:t>
            </w:r>
            <w:r w:rsidR="00924E46" w:rsidRPr="00741538">
              <w:rPr>
                <w:rFonts w:ascii="Arial" w:hAnsi="Arial" w:cs="Arial"/>
                <w:sz w:val="24"/>
                <w:szCs w:val="24"/>
              </w:rPr>
              <w:t>required,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you must attend the</w:t>
            </w:r>
            <w:r w:rsidR="00CB354E" w:rsidRPr="00741538">
              <w:rPr>
                <w:rFonts w:ascii="Arial" w:hAnsi="Arial" w:cs="Arial"/>
                <w:sz w:val="24"/>
                <w:szCs w:val="24"/>
              </w:rPr>
              <w:t xml:space="preserve"> DAERA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6C7" w:rsidRPr="00741538">
              <w:rPr>
                <w:rFonts w:ascii="Arial" w:hAnsi="Arial" w:cs="Arial"/>
                <w:sz w:val="24"/>
                <w:szCs w:val="24"/>
              </w:rPr>
              <w:t>facility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onsite at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of Larne</w:t>
            </w:r>
            <w:r w:rsidR="004748D5" w:rsidRPr="00741538">
              <w:rPr>
                <w:rFonts w:ascii="Arial" w:hAnsi="Arial" w:cs="Arial"/>
                <w:sz w:val="24"/>
                <w:szCs w:val="24"/>
              </w:rPr>
              <w:t xml:space="preserve"> for inspection </w:t>
            </w:r>
            <w:r w:rsidRPr="00741538">
              <w:rPr>
                <w:rFonts w:ascii="Arial" w:hAnsi="Arial" w:cs="Arial"/>
                <w:sz w:val="24"/>
                <w:szCs w:val="24"/>
              </w:rPr>
              <w:t>–</w:t>
            </w:r>
            <w:r w:rsidR="00736BE1"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9DF56C8" w:rsidRPr="00741538">
              <w:rPr>
                <w:rFonts w:ascii="Arial" w:hAnsi="Arial" w:cs="Arial"/>
                <w:sz w:val="24"/>
                <w:szCs w:val="24"/>
              </w:rPr>
              <w:t xml:space="preserve">you must present the Declaration Unique Consignment Reference (DUCR) provided by the declarant plus the necessary </w:t>
            </w:r>
            <w:hyperlink r:id="rId25">
              <w:r w:rsidR="19DF56C8" w:rsidRPr="007415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evidence/certificates/permits</w:t>
              </w:r>
            </w:hyperlink>
            <w:r w:rsidR="19DF56C8" w:rsidRPr="00741538">
              <w:rPr>
                <w:rFonts w:ascii="Arial" w:hAnsi="Arial" w:cs="Arial"/>
                <w:sz w:val="24"/>
                <w:szCs w:val="24"/>
              </w:rPr>
              <w:t xml:space="preserve"> confirming you can move the goods – these will be inspected by Border Force officials</w:t>
            </w:r>
          </w:p>
          <w:p w14:paraId="07CAC26A" w14:textId="77777777" w:rsidR="00162A70" w:rsidRPr="00741538" w:rsidRDefault="00162A70" w:rsidP="00CF7607">
            <w:pPr>
              <w:rPr>
                <w:sz w:val="24"/>
                <w:szCs w:val="24"/>
              </w:rPr>
            </w:pPr>
          </w:p>
          <w:p w14:paraId="5A0F064A" w14:textId="7C3FFD1C" w:rsidR="00162A70" w:rsidRPr="00741538" w:rsidRDefault="00162A70" w:rsidP="00CF76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>After checks have been completed, Border Force officials will either provide “Permission to Progress” to board the vessel or alternatively will advise on what corrective action needs to be taken</w:t>
            </w:r>
          </w:p>
          <w:p w14:paraId="6F3DE4F7" w14:textId="77777777" w:rsidR="004B4C61" w:rsidRPr="00741538" w:rsidRDefault="004B4C61" w:rsidP="00CF7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3F2E7" w14:textId="71521518" w:rsidR="0083283E" w:rsidRPr="00741538" w:rsidRDefault="004748D5" w:rsidP="00CF7607">
            <w:p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Important: failure to attend the </w:t>
            </w:r>
            <w:r w:rsidR="00CB354E"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DAERA facility at</w:t>
            </w: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Larne when advised to do so may </w:t>
            </w: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result in delays to travel and clearance of your goods</w:t>
            </w:r>
          </w:p>
        </w:tc>
        <w:tc>
          <w:tcPr>
            <w:tcW w:w="5420" w:type="dxa"/>
          </w:tcPr>
          <w:p w14:paraId="73651A0E" w14:textId="20E3D0B6" w:rsidR="005A3E3C" w:rsidRPr="00741538" w:rsidRDefault="005A3E3C" w:rsidP="00CF76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lastRenderedPageBreak/>
              <w:t xml:space="preserve">You must report to the </w:t>
            </w:r>
            <w:r w:rsidR="00CA1324" w:rsidRPr="00741538">
              <w:rPr>
                <w:rFonts w:ascii="Arial" w:hAnsi="Arial" w:cs="Arial"/>
                <w:sz w:val="24"/>
                <w:szCs w:val="24"/>
              </w:rPr>
              <w:t xml:space="preserve">DAERA facility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onsite at 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741538">
              <w:rPr>
                <w:rFonts w:ascii="Arial" w:hAnsi="Arial" w:cs="Arial"/>
                <w:sz w:val="24"/>
                <w:szCs w:val="24"/>
              </w:rPr>
              <w:t>Warrenpoint</w:t>
            </w:r>
            <w:r w:rsidR="00C451EB"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B55" w:rsidRPr="00741538">
              <w:rPr>
                <w:rFonts w:ascii="Arial" w:hAnsi="Arial" w:cs="Arial"/>
                <w:sz w:val="24"/>
                <w:szCs w:val="24"/>
              </w:rPr>
              <w:t xml:space="preserve">(outside of the Seatruck office Building)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before you check in with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Carrier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7A2E21" w14:textId="77777777" w:rsidR="005A3E3C" w:rsidRPr="00741538" w:rsidRDefault="005A3E3C" w:rsidP="00CF7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87A1B" w14:textId="6A6F0CA8" w:rsidR="005A3E3C" w:rsidRPr="00741538" w:rsidRDefault="005A3E3C" w:rsidP="00CF76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>When reporting to the</w:t>
            </w:r>
            <w:r w:rsidR="00CA1324" w:rsidRPr="00741538">
              <w:rPr>
                <w:rFonts w:ascii="Arial" w:hAnsi="Arial" w:cs="Arial"/>
                <w:sz w:val="24"/>
                <w:szCs w:val="24"/>
              </w:rPr>
              <w:t xml:space="preserve"> DAERA facility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you must </w:t>
            </w:r>
            <w:r w:rsidR="00D1248B" w:rsidRPr="00741538">
              <w:rPr>
                <w:rFonts w:ascii="Arial" w:hAnsi="Arial" w:cs="Arial"/>
                <w:sz w:val="24"/>
                <w:szCs w:val="24"/>
              </w:rPr>
              <w:t>present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the Declaration Unique Consignment Reference (DUCR) provided by the declarant plus the necessary </w:t>
            </w:r>
            <w:hyperlink r:id="rId26" w:history="1">
              <w:r w:rsidRPr="0074153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evidence/certificates/permits</w:t>
              </w:r>
            </w:hyperlink>
            <w:r w:rsidRPr="00741538">
              <w:rPr>
                <w:rFonts w:ascii="Arial" w:hAnsi="Arial" w:cs="Arial"/>
                <w:sz w:val="24"/>
                <w:szCs w:val="24"/>
              </w:rPr>
              <w:t xml:space="preserve"> confirming you can move the goods – these will be inspected by Border Force officials</w:t>
            </w:r>
          </w:p>
          <w:p w14:paraId="04816103" w14:textId="77777777" w:rsidR="005A3E3C" w:rsidRPr="00741538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FFFBA" w14:textId="69858BB9" w:rsidR="005A3E3C" w:rsidRPr="00741538" w:rsidRDefault="005A3E3C" w:rsidP="00CF76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 xml:space="preserve">After checks have been completed, Border Force officials will either provide “Permission to Progress” to the exiting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 or alternatively will advise on what corrective action needs to be taken</w:t>
            </w:r>
          </w:p>
          <w:p w14:paraId="10D25BD0" w14:textId="77777777" w:rsidR="005A3E3C" w:rsidRPr="00741538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8FAD9" w14:textId="11E88A41" w:rsidR="005A3E3C" w:rsidRPr="00741538" w:rsidRDefault="005A3E3C" w:rsidP="00CF76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 xml:space="preserve">If given “Permission to Progress” </w:t>
            </w:r>
            <w:r w:rsidR="00E245D7" w:rsidRPr="00741538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741538">
              <w:rPr>
                <w:rFonts w:ascii="Arial" w:hAnsi="Arial" w:cs="Arial"/>
                <w:sz w:val="24"/>
                <w:szCs w:val="24"/>
              </w:rPr>
              <w:t>Border Force</w:t>
            </w:r>
            <w:r w:rsidR="00E245D7" w:rsidRPr="00741538">
              <w:rPr>
                <w:rFonts w:ascii="Arial" w:hAnsi="Arial" w:cs="Arial"/>
                <w:sz w:val="24"/>
                <w:szCs w:val="24"/>
              </w:rPr>
              <w:t>,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1538">
              <w:rPr>
                <w:rFonts w:ascii="Arial" w:hAnsi="Arial" w:cs="Arial"/>
                <w:sz w:val="24"/>
                <w:szCs w:val="24"/>
              </w:rPr>
              <w:t xml:space="preserve">you can continue to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Carrier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check in at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Port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of Warrenpoint</w:t>
            </w:r>
          </w:p>
          <w:p w14:paraId="665C5130" w14:textId="77777777" w:rsidR="005A3E3C" w:rsidRPr="00741538" w:rsidRDefault="005A3E3C" w:rsidP="00C45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C2456" w14:textId="11E959C2" w:rsidR="005A3E3C" w:rsidRPr="00741538" w:rsidRDefault="005A3E3C" w:rsidP="00CF760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41538">
              <w:rPr>
                <w:rFonts w:ascii="Arial" w:hAnsi="Arial" w:cs="Arial"/>
                <w:sz w:val="24"/>
                <w:szCs w:val="24"/>
              </w:rPr>
              <w:t xml:space="preserve">Upon arrival at the </w:t>
            </w:r>
            <w:r w:rsidR="00C054E1" w:rsidRPr="00741538">
              <w:rPr>
                <w:rFonts w:ascii="Arial" w:hAnsi="Arial" w:cs="Arial"/>
                <w:sz w:val="24"/>
                <w:szCs w:val="24"/>
              </w:rPr>
              <w:t>Carrier</w:t>
            </w:r>
            <w:r w:rsidR="0083283E" w:rsidRPr="00741538">
              <w:rPr>
                <w:rFonts w:ascii="Arial" w:hAnsi="Arial" w:cs="Arial"/>
                <w:sz w:val="24"/>
                <w:szCs w:val="24"/>
              </w:rPr>
              <w:t xml:space="preserve"> check in </w:t>
            </w:r>
            <w:r w:rsidRPr="00741538">
              <w:rPr>
                <w:rFonts w:ascii="Arial" w:hAnsi="Arial" w:cs="Arial"/>
                <w:sz w:val="24"/>
                <w:szCs w:val="24"/>
              </w:rPr>
              <w:t>you must present your Goods Movement Reference</w:t>
            </w:r>
          </w:p>
          <w:p w14:paraId="14A6AD78" w14:textId="77777777" w:rsidR="005A3E3C" w:rsidRPr="00741538" w:rsidRDefault="005A3E3C" w:rsidP="00CF7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A86A0" w14:textId="2048E1A1" w:rsidR="00D9280C" w:rsidRPr="00741538" w:rsidRDefault="005A3E3C" w:rsidP="00CF7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Important: failure to attend the </w:t>
            </w:r>
            <w:r w:rsidR="00CA1324"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DAERA facility </w:t>
            </w:r>
            <w:r w:rsidR="0083283E"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Warrenpoint</w:t>
            </w: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in advance of your </w:t>
            </w:r>
            <w:r w:rsidRPr="00741538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journey may result in delays to travel and clearance of your goods</w:t>
            </w:r>
          </w:p>
        </w:tc>
      </w:tr>
      <w:bookmarkEnd w:id="2"/>
    </w:tbl>
    <w:p w14:paraId="59328B1B" w14:textId="5AF74970" w:rsidR="00042688" w:rsidRDefault="00042688" w:rsidP="00CF7607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highlight w:val="yellow"/>
          <w:lang w:eastAsia="en-GB"/>
        </w:rPr>
      </w:pPr>
    </w:p>
    <w:sectPr w:rsidR="00042688" w:rsidSect="00D9280C">
      <w:pgSz w:w="16838" w:h="11906" w:orient="landscape"/>
      <w:pgMar w:top="1440" w:right="28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871B" w14:textId="77777777" w:rsidR="004F03DC" w:rsidRDefault="004F03DC" w:rsidP="005D6728">
      <w:pPr>
        <w:spacing w:after="0" w:line="240" w:lineRule="auto"/>
      </w:pPr>
      <w:r>
        <w:separator/>
      </w:r>
    </w:p>
  </w:endnote>
  <w:endnote w:type="continuationSeparator" w:id="0">
    <w:p w14:paraId="6D42932D" w14:textId="77777777" w:rsidR="004F03DC" w:rsidRDefault="004F03DC" w:rsidP="005D6728">
      <w:pPr>
        <w:spacing w:after="0" w:line="240" w:lineRule="auto"/>
      </w:pPr>
      <w:r>
        <w:continuationSeparator/>
      </w:r>
    </w:p>
  </w:endnote>
  <w:endnote w:type="continuationNotice" w:id="1">
    <w:p w14:paraId="7823F3DF" w14:textId="77777777" w:rsidR="004F03DC" w:rsidRDefault="004F0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734A" w14:textId="77777777" w:rsidR="0004726E" w:rsidRDefault="00047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AD41" w14:textId="5622231C" w:rsidR="005D6728" w:rsidRDefault="00474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A9D4C4" wp14:editId="61BF8C7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ffec4e83af85a09329058097" descr="{&quot;HashCode&quot;:-126484731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84E963" w14:textId="7DFA392C" w:rsidR="004748D5" w:rsidRPr="0004726E" w:rsidRDefault="0004726E" w:rsidP="000472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72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9D4C4" id="_x0000_t202" coordsize="21600,21600" o:spt="202" path="m,l,21600r21600,l21600,xe">
              <v:stroke joinstyle="miter"/>
              <v:path gradientshapeok="t" o:connecttype="rect"/>
            </v:shapetype>
            <v:shape id="MSIPCMffec4e83af85a09329058097" o:spid="_x0000_s1026" type="#_x0000_t202" alt="{&quot;HashCode&quot;:-126484731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" o:allowincell="f" filled="f" stroked="f" strokeweight=".5pt">
              <v:textbox inset=",0,,0">
                <w:txbxContent>
                  <w:p w14:paraId="7B84E963" w14:textId="7DFA392C" w:rsidR="004748D5" w:rsidRPr="0004726E" w:rsidRDefault="0004726E" w:rsidP="000472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726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20B8" w14:textId="77777777" w:rsidR="0004726E" w:rsidRDefault="00047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C81A" w14:textId="77777777" w:rsidR="004F03DC" w:rsidRDefault="004F03DC" w:rsidP="005D6728">
      <w:pPr>
        <w:spacing w:after="0" w:line="240" w:lineRule="auto"/>
      </w:pPr>
      <w:r>
        <w:separator/>
      </w:r>
    </w:p>
  </w:footnote>
  <w:footnote w:type="continuationSeparator" w:id="0">
    <w:p w14:paraId="55FD5BCE" w14:textId="77777777" w:rsidR="004F03DC" w:rsidRDefault="004F03DC" w:rsidP="005D6728">
      <w:pPr>
        <w:spacing w:after="0" w:line="240" w:lineRule="auto"/>
      </w:pPr>
      <w:r>
        <w:continuationSeparator/>
      </w:r>
    </w:p>
  </w:footnote>
  <w:footnote w:type="continuationNotice" w:id="1">
    <w:p w14:paraId="6D2EE11C" w14:textId="77777777" w:rsidR="004F03DC" w:rsidRDefault="004F0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22A0" w14:textId="77777777" w:rsidR="0004726E" w:rsidRDefault="00047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AC05" w14:textId="77777777" w:rsidR="0004726E" w:rsidRDefault="00047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1786" w14:textId="77777777" w:rsidR="0004726E" w:rsidRDefault="00047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93B"/>
    <w:multiLevelType w:val="multilevel"/>
    <w:tmpl w:val="518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53CE"/>
    <w:multiLevelType w:val="hybridMultilevel"/>
    <w:tmpl w:val="905A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A2A"/>
    <w:multiLevelType w:val="multilevel"/>
    <w:tmpl w:val="9DF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91059"/>
    <w:multiLevelType w:val="hybridMultilevel"/>
    <w:tmpl w:val="ADB8EB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47452"/>
    <w:multiLevelType w:val="hybridMultilevel"/>
    <w:tmpl w:val="C0A4DCD0"/>
    <w:lvl w:ilvl="0" w:tplc="AD9A67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C87"/>
    <w:multiLevelType w:val="multilevel"/>
    <w:tmpl w:val="38E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F5D5A"/>
    <w:multiLevelType w:val="hybridMultilevel"/>
    <w:tmpl w:val="4B927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2DFC"/>
    <w:multiLevelType w:val="multilevel"/>
    <w:tmpl w:val="992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A22BA"/>
    <w:multiLevelType w:val="hybridMultilevel"/>
    <w:tmpl w:val="D8C4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574A8"/>
    <w:multiLevelType w:val="hybridMultilevel"/>
    <w:tmpl w:val="68BC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6A5B"/>
    <w:multiLevelType w:val="multilevel"/>
    <w:tmpl w:val="C91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E16E3"/>
    <w:multiLevelType w:val="hybridMultilevel"/>
    <w:tmpl w:val="2D22D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A2CD7"/>
    <w:multiLevelType w:val="multilevel"/>
    <w:tmpl w:val="F1FE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B5749"/>
    <w:multiLevelType w:val="hybridMultilevel"/>
    <w:tmpl w:val="87682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F7F81"/>
    <w:multiLevelType w:val="hybridMultilevel"/>
    <w:tmpl w:val="EE921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E502C"/>
    <w:multiLevelType w:val="hybridMultilevel"/>
    <w:tmpl w:val="36C8F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E575A"/>
    <w:multiLevelType w:val="hybridMultilevel"/>
    <w:tmpl w:val="9F5E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70456"/>
    <w:multiLevelType w:val="hybridMultilevel"/>
    <w:tmpl w:val="2DF8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552"/>
    <w:multiLevelType w:val="hybridMultilevel"/>
    <w:tmpl w:val="63728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65275"/>
    <w:multiLevelType w:val="hybridMultilevel"/>
    <w:tmpl w:val="5508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3F7B"/>
    <w:multiLevelType w:val="hybridMultilevel"/>
    <w:tmpl w:val="4BE8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3465A"/>
    <w:multiLevelType w:val="hybridMultilevel"/>
    <w:tmpl w:val="6366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5D18"/>
    <w:multiLevelType w:val="hybridMultilevel"/>
    <w:tmpl w:val="18E8E694"/>
    <w:lvl w:ilvl="0" w:tplc="3E32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918"/>
    <w:multiLevelType w:val="hybridMultilevel"/>
    <w:tmpl w:val="667A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18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23"/>
  </w:num>
  <w:num w:numId="18">
    <w:abstractNumId w:val="16"/>
  </w:num>
  <w:num w:numId="19">
    <w:abstractNumId w:val="20"/>
  </w:num>
  <w:num w:numId="20">
    <w:abstractNumId w:val="17"/>
  </w:num>
  <w:num w:numId="21">
    <w:abstractNumId w:val="22"/>
  </w:num>
  <w:num w:numId="22">
    <w:abstractNumId w:val="11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01"/>
    <w:rsid w:val="00026101"/>
    <w:rsid w:val="00030D4B"/>
    <w:rsid w:val="0004000C"/>
    <w:rsid w:val="00042688"/>
    <w:rsid w:val="000459E2"/>
    <w:rsid w:val="0004726E"/>
    <w:rsid w:val="00075F1B"/>
    <w:rsid w:val="00077792"/>
    <w:rsid w:val="00080A1A"/>
    <w:rsid w:val="00083CD4"/>
    <w:rsid w:val="000875A1"/>
    <w:rsid w:val="00093465"/>
    <w:rsid w:val="0009462F"/>
    <w:rsid w:val="000A0205"/>
    <w:rsid w:val="000B428D"/>
    <w:rsid w:val="000B552A"/>
    <w:rsid w:val="000D25AF"/>
    <w:rsid w:val="000D509B"/>
    <w:rsid w:val="000D53F1"/>
    <w:rsid w:val="000E4008"/>
    <w:rsid w:val="00100D09"/>
    <w:rsid w:val="00101E13"/>
    <w:rsid w:val="001117D4"/>
    <w:rsid w:val="00124FA6"/>
    <w:rsid w:val="001379D1"/>
    <w:rsid w:val="00140C77"/>
    <w:rsid w:val="00142DE2"/>
    <w:rsid w:val="00145BA2"/>
    <w:rsid w:val="001468A7"/>
    <w:rsid w:val="00146E0F"/>
    <w:rsid w:val="001501D5"/>
    <w:rsid w:val="001505B8"/>
    <w:rsid w:val="0015578B"/>
    <w:rsid w:val="00162A70"/>
    <w:rsid w:val="00170F1E"/>
    <w:rsid w:val="0017121A"/>
    <w:rsid w:val="00182215"/>
    <w:rsid w:val="001822BD"/>
    <w:rsid w:val="0019446B"/>
    <w:rsid w:val="001A3521"/>
    <w:rsid w:val="001A4A97"/>
    <w:rsid w:val="001B1CDE"/>
    <w:rsid w:val="001C5872"/>
    <w:rsid w:val="001D4981"/>
    <w:rsid w:val="001D5538"/>
    <w:rsid w:val="0020182C"/>
    <w:rsid w:val="00202A9A"/>
    <w:rsid w:val="002034D0"/>
    <w:rsid w:val="00205986"/>
    <w:rsid w:val="002206F1"/>
    <w:rsid w:val="00222347"/>
    <w:rsid w:val="00226980"/>
    <w:rsid w:val="00234512"/>
    <w:rsid w:val="00235548"/>
    <w:rsid w:val="00236420"/>
    <w:rsid w:val="00236593"/>
    <w:rsid w:val="002406C7"/>
    <w:rsid w:val="002408FA"/>
    <w:rsid w:val="00240C0E"/>
    <w:rsid w:val="0024333C"/>
    <w:rsid w:val="002454CD"/>
    <w:rsid w:val="002524C5"/>
    <w:rsid w:val="00252E08"/>
    <w:rsid w:val="002655D1"/>
    <w:rsid w:val="00287394"/>
    <w:rsid w:val="002D251A"/>
    <w:rsid w:val="002E0461"/>
    <w:rsid w:val="002E0DD2"/>
    <w:rsid w:val="002E6E93"/>
    <w:rsid w:val="002F5FAF"/>
    <w:rsid w:val="0030063B"/>
    <w:rsid w:val="003074F4"/>
    <w:rsid w:val="00307CE9"/>
    <w:rsid w:val="00307D9D"/>
    <w:rsid w:val="00311AE4"/>
    <w:rsid w:val="003320FD"/>
    <w:rsid w:val="00344016"/>
    <w:rsid w:val="00352887"/>
    <w:rsid w:val="0037013F"/>
    <w:rsid w:val="00374444"/>
    <w:rsid w:val="00374E76"/>
    <w:rsid w:val="00376ACF"/>
    <w:rsid w:val="00377817"/>
    <w:rsid w:val="00380C81"/>
    <w:rsid w:val="003857EA"/>
    <w:rsid w:val="003907DF"/>
    <w:rsid w:val="003A5787"/>
    <w:rsid w:val="003B306E"/>
    <w:rsid w:val="003B5699"/>
    <w:rsid w:val="003C053D"/>
    <w:rsid w:val="003E5BFD"/>
    <w:rsid w:val="003F3C91"/>
    <w:rsid w:val="003F6A0C"/>
    <w:rsid w:val="00413848"/>
    <w:rsid w:val="00414E08"/>
    <w:rsid w:val="0042283E"/>
    <w:rsid w:val="004307BE"/>
    <w:rsid w:val="00436733"/>
    <w:rsid w:val="004367A9"/>
    <w:rsid w:val="00440A1D"/>
    <w:rsid w:val="004443AA"/>
    <w:rsid w:val="004467A2"/>
    <w:rsid w:val="00457666"/>
    <w:rsid w:val="00462937"/>
    <w:rsid w:val="004651DF"/>
    <w:rsid w:val="004748D5"/>
    <w:rsid w:val="00475721"/>
    <w:rsid w:val="00481072"/>
    <w:rsid w:val="0048546C"/>
    <w:rsid w:val="00494776"/>
    <w:rsid w:val="004A1087"/>
    <w:rsid w:val="004A3EDF"/>
    <w:rsid w:val="004A63AF"/>
    <w:rsid w:val="004B4C61"/>
    <w:rsid w:val="004C3DE4"/>
    <w:rsid w:val="004C727E"/>
    <w:rsid w:val="004D763E"/>
    <w:rsid w:val="004F03DC"/>
    <w:rsid w:val="00507692"/>
    <w:rsid w:val="00521307"/>
    <w:rsid w:val="00536C8E"/>
    <w:rsid w:val="00550367"/>
    <w:rsid w:val="005508C9"/>
    <w:rsid w:val="005631AF"/>
    <w:rsid w:val="0056642B"/>
    <w:rsid w:val="00566617"/>
    <w:rsid w:val="00581085"/>
    <w:rsid w:val="00590AD1"/>
    <w:rsid w:val="00590B7E"/>
    <w:rsid w:val="00593AB8"/>
    <w:rsid w:val="0059705C"/>
    <w:rsid w:val="005A3886"/>
    <w:rsid w:val="005A3E3C"/>
    <w:rsid w:val="005B0A5E"/>
    <w:rsid w:val="005B6443"/>
    <w:rsid w:val="005B64EB"/>
    <w:rsid w:val="005C558D"/>
    <w:rsid w:val="005D2771"/>
    <w:rsid w:val="005D2CC3"/>
    <w:rsid w:val="005D5876"/>
    <w:rsid w:val="005D6728"/>
    <w:rsid w:val="005E6621"/>
    <w:rsid w:val="005E667F"/>
    <w:rsid w:val="005E7847"/>
    <w:rsid w:val="005F12C7"/>
    <w:rsid w:val="005F23A8"/>
    <w:rsid w:val="005F7D87"/>
    <w:rsid w:val="0061337B"/>
    <w:rsid w:val="00614A1B"/>
    <w:rsid w:val="00620BC4"/>
    <w:rsid w:val="0063647D"/>
    <w:rsid w:val="006670D4"/>
    <w:rsid w:val="006710B0"/>
    <w:rsid w:val="00680D4F"/>
    <w:rsid w:val="006815E0"/>
    <w:rsid w:val="006857A3"/>
    <w:rsid w:val="006858CD"/>
    <w:rsid w:val="0068632F"/>
    <w:rsid w:val="00690859"/>
    <w:rsid w:val="00692AC7"/>
    <w:rsid w:val="006B59FF"/>
    <w:rsid w:val="006C4291"/>
    <w:rsid w:val="006C645B"/>
    <w:rsid w:val="006C7AFB"/>
    <w:rsid w:val="006D68BD"/>
    <w:rsid w:val="006E6B01"/>
    <w:rsid w:val="006F39B8"/>
    <w:rsid w:val="007134A1"/>
    <w:rsid w:val="00715C2E"/>
    <w:rsid w:val="00724731"/>
    <w:rsid w:val="00734E59"/>
    <w:rsid w:val="00736227"/>
    <w:rsid w:val="00736BE1"/>
    <w:rsid w:val="00741538"/>
    <w:rsid w:val="007418DA"/>
    <w:rsid w:val="00754818"/>
    <w:rsid w:val="00760599"/>
    <w:rsid w:val="00761630"/>
    <w:rsid w:val="00764B0A"/>
    <w:rsid w:val="0077725D"/>
    <w:rsid w:val="007A05C5"/>
    <w:rsid w:val="007A62B3"/>
    <w:rsid w:val="007B0A41"/>
    <w:rsid w:val="007B701A"/>
    <w:rsid w:val="007C03D3"/>
    <w:rsid w:val="007C1DCC"/>
    <w:rsid w:val="007C1F43"/>
    <w:rsid w:val="007C3DC5"/>
    <w:rsid w:val="007D5229"/>
    <w:rsid w:val="007E1121"/>
    <w:rsid w:val="007E36E7"/>
    <w:rsid w:val="007F03C0"/>
    <w:rsid w:val="007F1313"/>
    <w:rsid w:val="007F2690"/>
    <w:rsid w:val="007F464E"/>
    <w:rsid w:val="007F4F9F"/>
    <w:rsid w:val="0080544E"/>
    <w:rsid w:val="0080559E"/>
    <w:rsid w:val="00806BC1"/>
    <w:rsid w:val="00817827"/>
    <w:rsid w:val="0083283E"/>
    <w:rsid w:val="00842322"/>
    <w:rsid w:val="008500D8"/>
    <w:rsid w:val="00866F4F"/>
    <w:rsid w:val="00867741"/>
    <w:rsid w:val="008953DD"/>
    <w:rsid w:val="00896A23"/>
    <w:rsid w:val="008A45C4"/>
    <w:rsid w:val="008A498F"/>
    <w:rsid w:val="008C3641"/>
    <w:rsid w:val="008C688A"/>
    <w:rsid w:val="008C7CA1"/>
    <w:rsid w:val="008D3620"/>
    <w:rsid w:val="008E2498"/>
    <w:rsid w:val="00904459"/>
    <w:rsid w:val="00911E8B"/>
    <w:rsid w:val="0091651B"/>
    <w:rsid w:val="00916531"/>
    <w:rsid w:val="009209A5"/>
    <w:rsid w:val="00924E46"/>
    <w:rsid w:val="00931B89"/>
    <w:rsid w:val="0093293E"/>
    <w:rsid w:val="009336A4"/>
    <w:rsid w:val="009358B5"/>
    <w:rsid w:val="0094058D"/>
    <w:rsid w:val="00952615"/>
    <w:rsid w:val="009708D7"/>
    <w:rsid w:val="00971052"/>
    <w:rsid w:val="00973391"/>
    <w:rsid w:val="0098755B"/>
    <w:rsid w:val="0099684D"/>
    <w:rsid w:val="00997904"/>
    <w:rsid w:val="009C4EB9"/>
    <w:rsid w:val="009C790F"/>
    <w:rsid w:val="009D4577"/>
    <w:rsid w:val="009D4807"/>
    <w:rsid w:val="009E2F3E"/>
    <w:rsid w:val="009F69BE"/>
    <w:rsid w:val="009F7909"/>
    <w:rsid w:val="009F7E6F"/>
    <w:rsid w:val="00A31DA3"/>
    <w:rsid w:val="00A42737"/>
    <w:rsid w:val="00A5018F"/>
    <w:rsid w:val="00A538AF"/>
    <w:rsid w:val="00A57A08"/>
    <w:rsid w:val="00A64DD5"/>
    <w:rsid w:val="00A72209"/>
    <w:rsid w:val="00A96CB1"/>
    <w:rsid w:val="00AB0226"/>
    <w:rsid w:val="00AD0A6D"/>
    <w:rsid w:val="00AE16BE"/>
    <w:rsid w:val="00B0413A"/>
    <w:rsid w:val="00B13FEE"/>
    <w:rsid w:val="00B3170A"/>
    <w:rsid w:val="00B403EC"/>
    <w:rsid w:val="00B41E72"/>
    <w:rsid w:val="00B42778"/>
    <w:rsid w:val="00B43E49"/>
    <w:rsid w:val="00B6140F"/>
    <w:rsid w:val="00B62690"/>
    <w:rsid w:val="00B70C45"/>
    <w:rsid w:val="00B77866"/>
    <w:rsid w:val="00B91921"/>
    <w:rsid w:val="00BA44E9"/>
    <w:rsid w:val="00BA48DB"/>
    <w:rsid w:val="00BB119F"/>
    <w:rsid w:val="00BC1131"/>
    <w:rsid w:val="00BC3EED"/>
    <w:rsid w:val="00BC74E0"/>
    <w:rsid w:val="00BC7D26"/>
    <w:rsid w:val="00BD6D4B"/>
    <w:rsid w:val="00BE717B"/>
    <w:rsid w:val="00C02DEA"/>
    <w:rsid w:val="00C054E1"/>
    <w:rsid w:val="00C12CBD"/>
    <w:rsid w:val="00C27B61"/>
    <w:rsid w:val="00C32451"/>
    <w:rsid w:val="00C403BC"/>
    <w:rsid w:val="00C4240C"/>
    <w:rsid w:val="00C451EB"/>
    <w:rsid w:val="00C539BE"/>
    <w:rsid w:val="00C62ED8"/>
    <w:rsid w:val="00C66244"/>
    <w:rsid w:val="00C6726B"/>
    <w:rsid w:val="00C72CF2"/>
    <w:rsid w:val="00C72E1E"/>
    <w:rsid w:val="00C82C51"/>
    <w:rsid w:val="00C84B53"/>
    <w:rsid w:val="00C85732"/>
    <w:rsid w:val="00CA1324"/>
    <w:rsid w:val="00CA5A1E"/>
    <w:rsid w:val="00CB1003"/>
    <w:rsid w:val="00CB354E"/>
    <w:rsid w:val="00CC4C0E"/>
    <w:rsid w:val="00CD054A"/>
    <w:rsid w:val="00CE3864"/>
    <w:rsid w:val="00CF7607"/>
    <w:rsid w:val="00D1248B"/>
    <w:rsid w:val="00D154DC"/>
    <w:rsid w:val="00D15880"/>
    <w:rsid w:val="00D2114A"/>
    <w:rsid w:val="00D23F8E"/>
    <w:rsid w:val="00D543B2"/>
    <w:rsid w:val="00D57B16"/>
    <w:rsid w:val="00D60CA3"/>
    <w:rsid w:val="00D62E78"/>
    <w:rsid w:val="00D720B7"/>
    <w:rsid w:val="00D73EFD"/>
    <w:rsid w:val="00D76B3B"/>
    <w:rsid w:val="00D87E5C"/>
    <w:rsid w:val="00D9280C"/>
    <w:rsid w:val="00DB7B1C"/>
    <w:rsid w:val="00DB7EF8"/>
    <w:rsid w:val="00DC0242"/>
    <w:rsid w:val="00DD713B"/>
    <w:rsid w:val="00DE3674"/>
    <w:rsid w:val="00DF6F49"/>
    <w:rsid w:val="00E003FA"/>
    <w:rsid w:val="00E0121E"/>
    <w:rsid w:val="00E01547"/>
    <w:rsid w:val="00E044AD"/>
    <w:rsid w:val="00E04A6C"/>
    <w:rsid w:val="00E04F15"/>
    <w:rsid w:val="00E0669D"/>
    <w:rsid w:val="00E245D7"/>
    <w:rsid w:val="00E24F8F"/>
    <w:rsid w:val="00E301A4"/>
    <w:rsid w:val="00E508A9"/>
    <w:rsid w:val="00E50B96"/>
    <w:rsid w:val="00E632DC"/>
    <w:rsid w:val="00E776C4"/>
    <w:rsid w:val="00E8507A"/>
    <w:rsid w:val="00EA6EDB"/>
    <w:rsid w:val="00EA7826"/>
    <w:rsid w:val="00EB019F"/>
    <w:rsid w:val="00EB0B96"/>
    <w:rsid w:val="00EB6B55"/>
    <w:rsid w:val="00EC2330"/>
    <w:rsid w:val="00EC5DCE"/>
    <w:rsid w:val="00EC783A"/>
    <w:rsid w:val="00EE0E9A"/>
    <w:rsid w:val="00EE7B55"/>
    <w:rsid w:val="00F10B2E"/>
    <w:rsid w:val="00F115B9"/>
    <w:rsid w:val="00F12EEE"/>
    <w:rsid w:val="00F247B9"/>
    <w:rsid w:val="00F436D8"/>
    <w:rsid w:val="00F44334"/>
    <w:rsid w:val="00F5226C"/>
    <w:rsid w:val="00F542B1"/>
    <w:rsid w:val="00F5520E"/>
    <w:rsid w:val="00F64651"/>
    <w:rsid w:val="00F64CA8"/>
    <w:rsid w:val="00F71760"/>
    <w:rsid w:val="00F76A44"/>
    <w:rsid w:val="00F85CC2"/>
    <w:rsid w:val="00F869FC"/>
    <w:rsid w:val="00F90AA1"/>
    <w:rsid w:val="00FA13C4"/>
    <w:rsid w:val="00FB6AAF"/>
    <w:rsid w:val="00FC31D3"/>
    <w:rsid w:val="00FC4BEF"/>
    <w:rsid w:val="00FE61D8"/>
    <w:rsid w:val="00FE673C"/>
    <w:rsid w:val="00FF397F"/>
    <w:rsid w:val="0217E407"/>
    <w:rsid w:val="0271E73E"/>
    <w:rsid w:val="03058CD7"/>
    <w:rsid w:val="0456E362"/>
    <w:rsid w:val="05478F36"/>
    <w:rsid w:val="05BBC274"/>
    <w:rsid w:val="06D69CDA"/>
    <w:rsid w:val="085E2C52"/>
    <w:rsid w:val="0CCD1CFB"/>
    <w:rsid w:val="0D8D55AC"/>
    <w:rsid w:val="0E697A50"/>
    <w:rsid w:val="0E782EFA"/>
    <w:rsid w:val="10122D50"/>
    <w:rsid w:val="11038934"/>
    <w:rsid w:val="1272DCCD"/>
    <w:rsid w:val="135CA91E"/>
    <w:rsid w:val="14D7D967"/>
    <w:rsid w:val="150EDCA9"/>
    <w:rsid w:val="19DF56C8"/>
    <w:rsid w:val="1A14F782"/>
    <w:rsid w:val="1B07F24E"/>
    <w:rsid w:val="1F47375D"/>
    <w:rsid w:val="20FCE4A1"/>
    <w:rsid w:val="22CABF7A"/>
    <w:rsid w:val="22F5CCF8"/>
    <w:rsid w:val="234C5C96"/>
    <w:rsid w:val="2561B867"/>
    <w:rsid w:val="262D6DBA"/>
    <w:rsid w:val="26DF48E3"/>
    <w:rsid w:val="272216A1"/>
    <w:rsid w:val="29861956"/>
    <w:rsid w:val="2A55F11E"/>
    <w:rsid w:val="2AFD23CE"/>
    <w:rsid w:val="2B86838E"/>
    <w:rsid w:val="2D2BE733"/>
    <w:rsid w:val="330EB38F"/>
    <w:rsid w:val="35476450"/>
    <w:rsid w:val="36B2D465"/>
    <w:rsid w:val="3775E130"/>
    <w:rsid w:val="37D6AD26"/>
    <w:rsid w:val="393C98CD"/>
    <w:rsid w:val="3B43DBA4"/>
    <w:rsid w:val="406F4871"/>
    <w:rsid w:val="42EEABFD"/>
    <w:rsid w:val="436C6D13"/>
    <w:rsid w:val="450129D3"/>
    <w:rsid w:val="48F91171"/>
    <w:rsid w:val="49021D6B"/>
    <w:rsid w:val="4BBF7695"/>
    <w:rsid w:val="4EA72537"/>
    <w:rsid w:val="4F0B6299"/>
    <w:rsid w:val="503C43C8"/>
    <w:rsid w:val="5265C7B4"/>
    <w:rsid w:val="526FD133"/>
    <w:rsid w:val="53BA1507"/>
    <w:rsid w:val="542CB450"/>
    <w:rsid w:val="552F870B"/>
    <w:rsid w:val="565AD364"/>
    <w:rsid w:val="58D50938"/>
    <w:rsid w:val="5DA87A5B"/>
    <w:rsid w:val="60D5F516"/>
    <w:rsid w:val="610355BD"/>
    <w:rsid w:val="611728F2"/>
    <w:rsid w:val="61C317F1"/>
    <w:rsid w:val="620C4ADA"/>
    <w:rsid w:val="63E48F05"/>
    <w:rsid w:val="64629871"/>
    <w:rsid w:val="68F31A88"/>
    <w:rsid w:val="69DCFB91"/>
    <w:rsid w:val="6A8EEAE9"/>
    <w:rsid w:val="6C6628E2"/>
    <w:rsid w:val="6FA709FF"/>
    <w:rsid w:val="7035091C"/>
    <w:rsid w:val="710DFD49"/>
    <w:rsid w:val="7328665D"/>
    <w:rsid w:val="737451D5"/>
    <w:rsid w:val="7529541C"/>
    <w:rsid w:val="757A14FD"/>
    <w:rsid w:val="7827F5E3"/>
    <w:rsid w:val="7AACC033"/>
    <w:rsid w:val="7C50EE77"/>
    <w:rsid w:val="7E10564D"/>
    <w:rsid w:val="7E61375D"/>
    <w:rsid w:val="7E62D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A21E"/>
  <w15:chartTrackingRefBased/>
  <w15:docId w15:val="{2A0C9022-92BC-45CF-AE4C-DC938DD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26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61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61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7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28"/>
  </w:style>
  <w:style w:type="paragraph" w:styleId="Footer">
    <w:name w:val="footer"/>
    <w:basedOn w:val="Normal"/>
    <w:link w:val="FooterChar"/>
    <w:uiPriority w:val="99"/>
    <w:unhideWhenUsed/>
    <w:rsid w:val="005D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28"/>
  </w:style>
  <w:style w:type="paragraph" w:styleId="ListParagraph">
    <w:name w:val="List Paragraph"/>
    <w:basedOn w:val="Normal"/>
    <w:uiPriority w:val="34"/>
    <w:qFormat/>
    <w:rsid w:val="00B42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58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58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check-customs-declaration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gov.uk/guidance/cites-imports-and-expor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get-a-goods-movement-reference" TargetMode="External"/><Relationship Id="rId17" Type="http://schemas.openxmlformats.org/officeDocument/2006/relationships/hyperlink" Target="https://www.gov.uk/guidance/moving-qualifying-goods-from-northern-ireland-to-the-rest-of-the-uk" TargetMode="External"/><Relationship Id="rId25" Type="http://schemas.openxmlformats.org/officeDocument/2006/relationships/hyperlink" Target="https://www.gov.uk/guidance/cites-imports-and-ex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get-a-goods-movement-refer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register-for-the-goods-vehicle-movement-service" TargetMode="External"/><Relationship Id="rId24" Type="http://schemas.openxmlformats.org/officeDocument/2006/relationships/hyperlink" Target="https://www.gov.uk/guidance/cites-imports-and-expor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register-for-the-goods-vehicle-movement-service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s://www.gov.uk/guidance/moving-qualifying-goods-from-northern-ireland-to-the-rest-of-the-u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?url=https%3A%2F%2Fwww.gov.uk%2Fguidance%2Ftrader-support-service&amp;data=04%7C01%7Cann.gardiner%40hmrc.gov.uk%7C86dcfd7ade8642200dd608d8bb8e94c2%7Cac52f73cfd1a4a9a8e7a4a248f3139e1%7C0%7C0%7C637465568336965142%7CUnknown%7CTWFpbGZsb3d8eyJWIjoiMC4wLjAwMDAiLCJQIjoiV2luMzIiLCJBTiI6Ik1haWwiLCJXVCI6Mn0%3D%7C1000&amp;sdata=m7RB7nP3%2BfATLrxNMTRr%2BR17yxjoyTl76x7k8HJMhEM%3D&amp;reserved=0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99257B899CE4F9ACD79B768474AB5" ma:contentTypeVersion="6" ma:contentTypeDescription="Create a new document." ma:contentTypeScope="" ma:versionID="a232bf287922613aa9df52ed7d2d15f2">
  <xsd:schema xmlns:xsd="http://www.w3.org/2001/XMLSchema" xmlns:xs="http://www.w3.org/2001/XMLSchema" xmlns:p="http://schemas.microsoft.com/office/2006/metadata/properties" xmlns:ns2="7086fdbf-65f5-45dd-a2a7-3a8c4c62399f" xmlns:ns3="9ae6c7ba-1005-4ada-abbe-6d3effeefddc" targetNamespace="http://schemas.microsoft.com/office/2006/metadata/properties" ma:root="true" ma:fieldsID="bd074fe7ae1304445144d3044b48d5a0" ns2:_="" ns3:_="">
    <xsd:import namespace="7086fdbf-65f5-45dd-a2a7-3a8c4c62399f"/>
    <xsd:import namespace="9ae6c7ba-1005-4ada-abbe-6d3effee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6fdbf-65f5-45dd-a2a7-3a8c4c623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6c7ba-1005-4ada-abbe-6d3effeef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e6c7ba-1005-4ada-abbe-6d3effeefddc">
      <UserInfo>
        <DisplayName>Lockey, Louise (B&amp;T GB Delivery)</DisplayName>
        <AccountId>22</AccountId>
        <AccountType/>
      </UserInfo>
      <UserInfo>
        <DisplayName>Shishodia, Sudha (B&amp;T GB Delivery)</DisplayName>
        <AccountId>23</AccountId>
        <AccountType/>
      </UserInfo>
      <UserInfo>
        <DisplayName>Webley, Gerard (B&amp;T GB Delivery)</DisplayName>
        <AccountId>18</AccountId>
        <AccountType/>
      </UserInfo>
      <UserInfo>
        <DisplayName>Earnshaw, Paul (B&amp;T GB Delivery)</DisplayName>
        <AccountId>21</AccountId>
        <AccountType/>
      </UserInfo>
      <UserInfo>
        <DisplayName>Kovuri, Srinivas (B&amp;T GB Delivery Readiness For Change)</DisplayName>
        <AccountId>17</AccountId>
        <AccountType/>
      </UserInfo>
      <UserInfo>
        <DisplayName>Sond, Jetinder (B&amp;T GB Delivery)</DisplayName>
        <AccountId>13</AccountId>
        <AccountType/>
      </UserInfo>
      <UserInfo>
        <DisplayName>Cawthorn, Andrew (Customs Transform)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6B724C-B419-4D6C-99D5-38A5F056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6fdbf-65f5-45dd-a2a7-3a8c4c62399f"/>
    <ds:schemaRef ds:uri="9ae6c7ba-1005-4ada-abbe-6d3effeef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21624-1A9F-4F64-B4C7-8153A6D39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4AFA-F65D-4952-A68F-19855FE148CC}">
  <ds:schemaRefs>
    <ds:schemaRef ds:uri="http://schemas.microsoft.com/office/2006/metadata/properties"/>
    <ds:schemaRef ds:uri="http://schemas.microsoft.com/office/infopath/2007/PartnerControls"/>
    <ds:schemaRef ds:uri="9ae6c7ba-1005-4ada-abbe-6d3effeefd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Shishodia, Sudha (Customs Transform)</dc:creator>
  <cp:keywords/>
  <dc:description/>
  <cp:lastModifiedBy>Earnshaw, Paul (B&amp;T GB Delivery)</cp:lastModifiedBy>
  <cp:revision>45</cp:revision>
  <dcterms:created xsi:type="dcterms:W3CDTF">2021-05-05T07:51:00Z</dcterms:created>
  <dcterms:modified xsi:type="dcterms:W3CDTF">2021-05-20T17:31:00Z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2021-01-13T07:30:24Z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ee69e44b-65da-4675-a3d8-2c1ebb1161a1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0x010100A7099257B899CE4F9ACD79B768474AB5</vt:lpwstr>
  </property>
</Properties>
</file>